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76FB0" w14:textId="222E270E" w:rsidR="00FA1690" w:rsidRPr="00AB0E0F" w:rsidRDefault="00FA1690" w:rsidP="00FA1690">
      <w:pPr>
        <w:pStyle w:val="3GPPHeader"/>
        <w:spacing w:line="240" w:lineRule="auto"/>
        <w:rPr>
          <w:rFonts w:ascii="Arial" w:hAnsi="Arial" w:cs="Arial"/>
          <w:sz w:val="28"/>
          <w:szCs w:val="28"/>
        </w:rPr>
      </w:pPr>
      <w:bookmarkStart w:id="0" w:name="_Hlk489988649"/>
      <w:bookmarkEnd w:id="0"/>
      <w:r w:rsidRPr="00AB0E0F">
        <w:rPr>
          <w:rFonts w:ascii="Arial" w:hAnsi="Arial" w:cs="Arial"/>
          <w:sz w:val="28"/>
          <w:szCs w:val="28"/>
        </w:rPr>
        <w:t>3GPP TSG-RAN WG1 Meeting AH 1801</w:t>
      </w:r>
      <w:r w:rsidRPr="00AB0E0F">
        <w:rPr>
          <w:rFonts w:ascii="Arial" w:hAnsi="Arial" w:cs="Arial"/>
          <w:sz w:val="28"/>
          <w:szCs w:val="28"/>
        </w:rPr>
        <w:tab/>
        <w:t>R1-1800979</w:t>
      </w:r>
      <w:r w:rsidRPr="00AB0E0F">
        <w:rPr>
          <w:rFonts w:ascii="Arial" w:hAnsi="Arial" w:cs="Arial"/>
          <w:sz w:val="28"/>
          <w:szCs w:val="28"/>
        </w:rPr>
        <w:br/>
        <w:t>Vancouver, Canada, January 22nd – 26th, 2018</w:t>
      </w:r>
    </w:p>
    <w:p w14:paraId="0A1405D0" w14:textId="483AD46B" w:rsidR="00FA1690" w:rsidRPr="00FA1690" w:rsidRDefault="00FA1690" w:rsidP="00FA1690">
      <w:pPr>
        <w:pStyle w:val="3GPPHeader"/>
        <w:spacing w:line="360" w:lineRule="auto"/>
        <w:rPr>
          <w:rFonts w:ascii="Arial" w:hAnsi="Arial" w:cs="Arial"/>
        </w:rPr>
      </w:pPr>
      <w:r w:rsidRPr="00FA1690">
        <w:rPr>
          <w:rFonts w:ascii="Arial" w:hAnsi="Arial" w:cs="Arial"/>
        </w:rPr>
        <w:t>Source:</w:t>
      </w:r>
      <w:r w:rsidRPr="00FA1690">
        <w:rPr>
          <w:rFonts w:ascii="Arial" w:hAnsi="Arial" w:cs="Arial"/>
        </w:rPr>
        <w:tab/>
        <w:t>Ericsson</w:t>
      </w:r>
      <w:r w:rsidRPr="00FA1690">
        <w:rPr>
          <w:rFonts w:ascii="Arial" w:hAnsi="Arial" w:cs="Arial"/>
        </w:rPr>
        <w:br/>
        <w:t>Title:</w:t>
      </w:r>
      <w:r w:rsidRPr="00FA1690">
        <w:rPr>
          <w:rFonts w:ascii="Arial" w:hAnsi="Arial" w:cs="Arial"/>
        </w:rPr>
        <w:tab/>
      </w:r>
      <w:bookmarkStart w:id="1" w:name="_Hlk503517609"/>
      <w:r w:rsidRPr="00FA1690">
        <w:rPr>
          <w:rFonts w:ascii="Arial" w:hAnsi="Arial" w:cs="Arial"/>
        </w:rPr>
        <w:t>IMT-2020 self-evaluation: Mobility evaluations for NR</w:t>
      </w:r>
      <w:bookmarkEnd w:id="1"/>
      <w:r w:rsidRPr="00FA1690">
        <w:rPr>
          <w:rFonts w:ascii="Arial" w:hAnsi="Arial" w:cs="Arial"/>
        </w:rPr>
        <w:br/>
        <w:t>Agenda Item:</w:t>
      </w:r>
      <w:r w:rsidRPr="00FA1690">
        <w:rPr>
          <w:rFonts w:ascii="Arial" w:hAnsi="Arial" w:cs="Arial"/>
        </w:rPr>
        <w:tab/>
        <w:t>7.9</w:t>
      </w:r>
      <w:r w:rsidRPr="00FA1690">
        <w:rPr>
          <w:rFonts w:ascii="Arial" w:hAnsi="Arial" w:cs="Arial"/>
        </w:rPr>
        <w:br/>
        <w:t>Document for:</w:t>
      </w:r>
      <w:r w:rsidRPr="00FA1690">
        <w:rPr>
          <w:rFonts w:ascii="Arial" w:hAnsi="Arial" w:cs="Arial"/>
        </w:rPr>
        <w:tab/>
        <w:t>Discussion</w:t>
      </w:r>
    </w:p>
    <w:p w14:paraId="52F630C8" w14:textId="77777777" w:rsidR="00E90E49" w:rsidRPr="00FA1690" w:rsidRDefault="00E90E49" w:rsidP="00CE0424">
      <w:pPr>
        <w:pStyle w:val="Heading1"/>
        <w:rPr>
          <w:lang w:val="en-US"/>
        </w:rPr>
      </w:pPr>
      <w:r w:rsidRPr="00FA1690">
        <w:rPr>
          <w:lang w:val="en-US"/>
        </w:rPr>
        <w:t>Introduction</w:t>
      </w:r>
    </w:p>
    <w:p w14:paraId="5FA86CC7" w14:textId="781A1AC3" w:rsidR="00F10917" w:rsidRPr="00FA1690" w:rsidRDefault="00F10917" w:rsidP="00F10917">
      <w:pPr>
        <w:rPr>
          <w:rFonts w:ascii="Arial" w:hAnsi="Arial" w:cs="Arial"/>
        </w:rPr>
      </w:pPr>
      <w:bookmarkStart w:id="2" w:name="_Ref178064866"/>
      <w:r w:rsidRPr="00FA1690">
        <w:rPr>
          <w:rFonts w:ascii="Arial" w:hAnsi="Arial" w:cs="Arial"/>
          <w:b/>
        </w:rPr>
        <w:t>Network energy efficiency</w:t>
      </w:r>
      <w:r w:rsidRPr="00FA1690">
        <w:rPr>
          <w:rFonts w:ascii="Arial" w:hAnsi="Arial" w:cs="Arial"/>
        </w:rPr>
        <w:t xml:space="preserve"> is selected as one of thirteen performance requirements for IMT-2020. Previous contributions </w:t>
      </w:r>
      <w:r w:rsidRPr="00FA1690">
        <w:rPr>
          <w:rFonts w:ascii="Arial" w:hAnsi="Arial" w:cs="Arial"/>
        </w:rPr>
        <w:fldChar w:fldCharType="begin"/>
      </w:r>
      <w:r w:rsidRPr="00FA1690">
        <w:rPr>
          <w:rFonts w:ascii="Arial" w:hAnsi="Arial" w:cs="Arial"/>
        </w:rPr>
        <w:instrText xml:space="preserve"> REF _Ref473903597 \r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[1]</w:t>
      </w:r>
      <w:r w:rsidRPr="00FA1690">
        <w:rPr>
          <w:rFonts w:ascii="Arial" w:hAnsi="Arial" w:cs="Arial"/>
        </w:rPr>
        <w:fldChar w:fldCharType="end"/>
      </w:r>
      <w:r w:rsidRPr="00FA1690">
        <w:rPr>
          <w:rFonts w:ascii="Arial" w:hAnsi="Arial" w:cs="Arial"/>
        </w:rPr>
        <w:t>-</w:t>
      </w:r>
      <w:r w:rsidRPr="00FA1690">
        <w:rPr>
          <w:rFonts w:ascii="Arial" w:hAnsi="Arial" w:cs="Arial"/>
        </w:rPr>
        <w:fldChar w:fldCharType="begin"/>
      </w:r>
      <w:r w:rsidRPr="00FA1690">
        <w:rPr>
          <w:rFonts w:ascii="Arial" w:hAnsi="Arial" w:cs="Arial"/>
        </w:rPr>
        <w:instrText xml:space="preserve"> REF _Ref474168893 \r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[4]</w:t>
      </w:r>
      <w:r w:rsidRPr="00FA1690">
        <w:rPr>
          <w:rFonts w:ascii="Arial" w:hAnsi="Arial" w:cs="Arial"/>
        </w:rPr>
        <w:fldChar w:fldCharType="end"/>
      </w:r>
      <w:r w:rsidRPr="00FA1690">
        <w:rPr>
          <w:rFonts w:ascii="Arial" w:hAnsi="Arial" w:cs="Arial"/>
        </w:rPr>
        <w:t xml:space="preserve"> has present</w:t>
      </w:r>
      <w:bookmarkStart w:id="3" w:name="_GoBack"/>
      <w:bookmarkEnd w:id="3"/>
      <w:r w:rsidRPr="00FA1690">
        <w:rPr>
          <w:rFonts w:ascii="Arial" w:hAnsi="Arial" w:cs="Arial"/>
        </w:rPr>
        <w:t xml:space="preserve">ed the benefit of longer sync periods with respect to network energy efficiency. In this contribution we present additional assessments based on the base station power consumption model presented in </w:t>
      </w:r>
      <w:r w:rsidRPr="00FA1690">
        <w:rPr>
          <w:rFonts w:ascii="Arial" w:hAnsi="Arial" w:cs="Arial"/>
        </w:rPr>
        <w:fldChar w:fldCharType="begin"/>
      </w:r>
      <w:r w:rsidRPr="00FA1690">
        <w:rPr>
          <w:rFonts w:ascii="Arial" w:hAnsi="Arial" w:cs="Arial"/>
        </w:rPr>
        <w:instrText xml:space="preserve"> REF _Ref473889392 \r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[5]</w:t>
      </w:r>
      <w:r w:rsidRPr="00FA1690">
        <w:rPr>
          <w:rFonts w:ascii="Arial" w:hAnsi="Arial" w:cs="Arial"/>
        </w:rPr>
        <w:fldChar w:fldCharType="end"/>
      </w:r>
      <w:r w:rsidRPr="00FA1690">
        <w:rPr>
          <w:rFonts w:ascii="Arial" w:hAnsi="Arial" w:cs="Arial"/>
        </w:rPr>
        <w:t>.</w:t>
      </w:r>
    </w:p>
    <w:p w14:paraId="5D8FECC8" w14:textId="77777777" w:rsidR="00023E8E" w:rsidRPr="00FA1690" w:rsidRDefault="00023E8E" w:rsidP="008D2453">
      <w:pPr>
        <w:pStyle w:val="Heading1"/>
        <w:rPr>
          <w:lang w:val="en-US"/>
        </w:rPr>
      </w:pPr>
      <w:r w:rsidRPr="00FA1690">
        <w:rPr>
          <w:lang w:val="en-US"/>
        </w:rPr>
        <w:t>Discussion</w:t>
      </w:r>
      <w:bookmarkEnd w:id="2"/>
    </w:p>
    <w:p w14:paraId="1399B889" w14:textId="5833BF79" w:rsidR="007A52A4" w:rsidRPr="00FA1690" w:rsidRDefault="007A52A4" w:rsidP="007A52A4">
      <w:pPr>
        <w:pStyle w:val="Heading2"/>
        <w:rPr>
          <w:lang w:val="en-US"/>
        </w:rPr>
      </w:pPr>
      <w:r w:rsidRPr="00FA1690">
        <w:rPr>
          <w:lang w:val="en-US"/>
        </w:rPr>
        <w:t>Power model</w:t>
      </w:r>
    </w:p>
    <w:p w14:paraId="54457785" w14:textId="1C81AA38" w:rsidR="00FD6187" w:rsidRPr="00FA1690" w:rsidRDefault="00FD6187" w:rsidP="00FD6187">
      <w:pPr>
        <w:rPr>
          <w:rFonts w:ascii="Arial" w:hAnsi="Arial" w:cs="Arial"/>
        </w:rPr>
      </w:pPr>
      <w:r w:rsidRPr="00FA1690">
        <w:rPr>
          <w:rFonts w:ascii="Arial" w:hAnsi="Arial" w:cs="Arial"/>
        </w:rPr>
        <w:fldChar w:fldCharType="begin"/>
      </w:r>
      <w:r w:rsidRPr="00FA1690">
        <w:rPr>
          <w:rFonts w:ascii="Arial" w:hAnsi="Arial" w:cs="Arial"/>
        </w:rPr>
        <w:instrText xml:space="preserve"> REF _Ref498094423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1</w:t>
      </w:r>
      <w:r w:rsidRPr="00FA1690">
        <w:rPr>
          <w:rFonts w:ascii="Arial" w:hAnsi="Arial" w:cs="Arial"/>
        </w:rPr>
        <w:fldChar w:fldCharType="end"/>
      </w:r>
      <w:r w:rsidRPr="00FA1690">
        <w:rPr>
          <w:rFonts w:ascii="Arial" w:hAnsi="Arial" w:cs="Arial"/>
        </w:rPr>
        <w:t xml:space="preserve"> depicts the principle behavior of a radio base station power consumption as function of the RF output power. This simple model is surprisingly accurate, giver proper parameterization, and this kind of power model was used </w:t>
      </w:r>
      <w:r w:rsidR="00B82CC0" w:rsidRPr="00FA1690">
        <w:rPr>
          <w:rFonts w:ascii="Arial" w:hAnsi="Arial" w:cs="Arial"/>
        </w:rPr>
        <w:t xml:space="preserve">extensively </w:t>
      </w:r>
      <w:r w:rsidRPr="00FA1690">
        <w:rPr>
          <w:rFonts w:ascii="Arial" w:hAnsi="Arial" w:cs="Arial"/>
        </w:rPr>
        <w:t xml:space="preserve">in e.g. the </w:t>
      </w:r>
      <w:r w:rsidR="00B82CC0" w:rsidRPr="00FA1690">
        <w:rPr>
          <w:rFonts w:ascii="Arial" w:hAnsi="Arial" w:cs="Arial"/>
        </w:rPr>
        <w:t>European EARTH project when evaluating network power consumption.</w:t>
      </w:r>
      <w:r w:rsidRPr="00FA1690">
        <w:rPr>
          <w:rFonts w:ascii="Arial" w:hAnsi="Arial" w:cs="Arial"/>
        </w:rPr>
        <w:t xml:space="preserve"> </w:t>
      </w:r>
    </w:p>
    <w:p w14:paraId="7BCA6294" w14:textId="77777777" w:rsidR="00FD6187" w:rsidRPr="00FA1690" w:rsidRDefault="00FD6187" w:rsidP="00FD6187">
      <w:pPr>
        <w:rPr>
          <w:rFonts w:ascii="Arial" w:hAnsi="Arial" w:cs="Arial"/>
        </w:rPr>
      </w:pPr>
    </w:p>
    <w:p w14:paraId="23D0D16B" w14:textId="77777777" w:rsidR="00FD6187" w:rsidRPr="00FA1690" w:rsidRDefault="00FD6187" w:rsidP="00FD6187">
      <w:pPr>
        <w:keepNext/>
        <w:jc w:val="center"/>
        <w:rPr>
          <w:rFonts w:ascii="Arial" w:hAnsi="Arial" w:cs="Arial"/>
        </w:rPr>
      </w:pPr>
      <w:r w:rsidRPr="00FA1690">
        <w:rPr>
          <w:rFonts w:ascii="Arial" w:hAnsi="Arial" w:cs="Arial"/>
          <w:noProof/>
        </w:rPr>
        <w:drawing>
          <wp:inline distT="0" distB="0" distL="0" distR="0" wp14:anchorId="3E1F77B6" wp14:editId="252504BA">
            <wp:extent cx="3526790" cy="2141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778" cy="2147156"/>
                    </a:xfrm>
                    <a:prstGeom prst="rect">
                      <a:avLst/>
                    </a:prstGeom>
                    <a:noFill/>
                  </pic:spPr>
                </pic:pic>
              </a:graphicData>
            </a:graphic>
          </wp:inline>
        </w:drawing>
      </w:r>
    </w:p>
    <w:p w14:paraId="5420BE8D" w14:textId="01FFFA08" w:rsidR="00FD6187" w:rsidRPr="00FA1690" w:rsidRDefault="00FD6187" w:rsidP="00FA1690">
      <w:pPr>
        <w:pStyle w:val="Caption"/>
        <w:rPr>
          <w:rFonts w:ascii="Arial" w:hAnsi="Arial" w:cs="Arial"/>
        </w:rPr>
      </w:pPr>
      <w:bookmarkStart w:id="4" w:name="_Ref498094423"/>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Pr="00FA1690">
        <w:rPr>
          <w:rFonts w:ascii="Arial" w:hAnsi="Arial" w:cs="Arial"/>
          <w:noProof/>
        </w:rPr>
        <w:t>1</w:t>
      </w:r>
      <w:r w:rsidR="00BA5427" w:rsidRPr="00FA1690">
        <w:rPr>
          <w:rFonts w:ascii="Arial" w:hAnsi="Arial" w:cs="Arial"/>
          <w:noProof/>
        </w:rPr>
        <w:fldChar w:fldCharType="end"/>
      </w:r>
      <w:bookmarkEnd w:id="4"/>
      <w:r w:rsidRPr="00FA1690">
        <w:rPr>
          <w:rFonts w:ascii="Arial" w:hAnsi="Arial" w:cs="Arial"/>
        </w:rPr>
        <w:t>: Principle of the power model used in this evaluation.</w:t>
      </w:r>
    </w:p>
    <w:p w14:paraId="63057A14" w14:textId="0A196AB8" w:rsidR="00457E95" w:rsidRPr="00FA1690" w:rsidRDefault="00457E95" w:rsidP="00457E95">
      <w:pPr>
        <w:rPr>
          <w:rFonts w:ascii="Arial" w:hAnsi="Arial" w:cs="Arial"/>
        </w:rPr>
      </w:pPr>
      <w:r w:rsidRPr="00FA1690">
        <w:rPr>
          <w:rFonts w:ascii="Arial" w:hAnsi="Arial" w:cs="Arial"/>
        </w:rPr>
        <w:t xml:space="preserve">In this evaluation we will use the power model </w:t>
      </w:r>
      <w:r w:rsidR="00B82CC0" w:rsidRPr="00FA1690">
        <w:rPr>
          <w:rFonts w:ascii="Arial" w:hAnsi="Arial" w:cs="Arial"/>
        </w:rPr>
        <w:t xml:space="preserve">in </w:t>
      </w:r>
      <w:r w:rsidR="00B82CC0" w:rsidRPr="00FA1690">
        <w:rPr>
          <w:rFonts w:ascii="Arial" w:hAnsi="Arial" w:cs="Arial"/>
        </w:rPr>
        <w:fldChar w:fldCharType="begin"/>
      </w:r>
      <w:r w:rsidR="00B82CC0" w:rsidRPr="00FA1690">
        <w:rPr>
          <w:rFonts w:ascii="Arial" w:hAnsi="Arial" w:cs="Arial"/>
        </w:rPr>
        <w:instrText xml:space="preserve"> REF _Ref498094423 \h </w:instrText>
      </w:r>
      <w:r w:rsidR="00FA1690">
        <w:rPr>
          <w:rFonts w:ascii="Arial" w:hAnsi="Arial" w:cs="Arial"/>
        </w:rPr>
        <w:instrText xml:space="preserve"> \* MERGEFORMAT </w:instrText>
      </w:r>
      <w:r w:rsidR="00B82CC0" w:rsidRPr="00FA1690">
        <w:rPr>
          <w:rFonts w:ascii="Arial" w:hAnsi="Arial" w:cs="Arial"/>
        </w:rPr>
      </w:r>
      <w:r w:rsidR="00B82CC0" w:rsidRPr="00FA1690">
        <w:rPr>
          <w:rFonts w:ascii="Arial" w:hAnsi="Arial" w:cs="Arial"/>
        </w:rPr>
        <w:fldChar w:fldCharType="separate"/>
      </w:r>
      <w:r w:rsidR="00B82CC0" w:rsidRPr="00FA1690">
        <w:rPr>
          <w:rFonts w:ascii="Arial" w:hAnsi="Arial" w:cs="Arial"/>
        </w:rPr>
        <w:t xml:space="preserve">Figure </w:t>
      </w:r>
      <w:r w:rsidR="00B82CC0" w:rsidRPr="00FA1690">
        <w:rPr>
          <w:rFonts w:ascii="Arial" w:hAnsi="Arial" w:cs="Arial"/>
          <w:noProof/>
        </w:rPr>
        <w:t>1</w:t>
      </w:r>
      <w:r w:rsidR="00B82CC0" w:rsidRPr="00FA1690">
        <w:rPr>
          <w:rFonts w:ascii="Arial" w:hAnsi="Arial" w:cs="Arial"/>
        </w:rPr>
        <w:fldChar w:fldCharType="end"/>
      </w:r>
      <w:r w:rsidR="00B82CC0" w:rsidRPr="00FA1690">
        <w:rPr>
          <w:rFonts w:ascii="Arial" w:hAnsi="Arial" w:cs="Arial"/>
        </w:rPr>
        <w:t xml:space="preserve"> together with parameters </w:t>
      </w:r>
      <w:r w:rsidRPr="00FA1690">
        <w:rPr>
          <w:rFonts w:ascii="Arial" w:hAnsi="Arial" w:cs="Arial"/>
        </w:rPr>
        <w:t xml:space="preserve">that was defined in </w:t>
      </w:r>
      <w:r w:rsidRPr="00FA1690">
        <w:rPr>
          <w:rFonts w:ascii="Arial" w:hAnsi="Arial" w:cs="Arial"/>
        </w:rPr>
        <w:fldChar w:fldCharType="begin"/>
      </w:r>
      <w:r w:rsidRPr="00FA1690">
        <w:rPr>
          <w:rFonts w:ascii="Arial" w:hAnsi="Arial" w:cs="Arial"/>
        </w:rPr>
        <w:instrText xml:space="preserve"> REF _Ref473889392 \r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[5]</w:t>
      </w:r>
      <w:r w:rsidRPr="00FA1690">
        <w:rPr>
          <w:rFonts w:ascii="Arial" w:hAnsi="Arial" w:cs="Arial"/>
        </w:rPr>
        <w:fldChar w:fldCharType="end"/>
      </w:r>
      <w:r w:rsidRPr="00FA1690">
        <w:rPr>
          <w:rFonts w:ascii="Arial" w:hAnsi="Arial" w:cs="Arial"/>
        </w:rPr>
        <w:t xml:space="preserve">. This model </w:t>
      </w:r>
      <w:r w:rsidR="004830A1" w:rsidRPr="00FA1690">
        <w:rPr>
          <w:rFonts w:ascii="Arial" w:hAnsi="Arial" w:cs="Arial"/>
        </w:rPr>
        <w:t>consists</w:t>
      </w:r>
      <w:r w:rsidRPr="00FA1690">
        <w:rPr>
          <w:rFonts w:ascii="Arial" w:hAnsi="Arial" w:cs="Arial"/>
        </w:rPr>
        <w:t xml:space="preserve"> of power consumption models for base stations of types 2x2 macro, 4x4 macro, pico, femto, and LSAS (large scale antenna system). The model </w:t>
      </w:r>
      <w:r w:rsidR="004830A1" w:rsidRPr="00FA1690">
        <w:rPr>
          <w:rFonts w:ascii="Arial" w:hAnsi="Arial" w:cs="Arial"/>
        </w:rPr>
        <w:t>defines</w:t>
      </w:r>
      <w:r w:rsidRPr="00FA1690">
        <w:rPr>
          <w:rFonts w:ascii="Arial" w:hAnsi="Arial" w:cs="Arial"/>
        </w:rPr>
        <w:t xml:space="preserve"> 4 sleep modes with activation times of 71.4 µs (1 OFDM symbol in 15 KHz numerology), 1 ms, 10 ms, and 1 second respectively. Note that the macro power models (2x2 macro and 4x4 macro) provide power consumption number per sector and in this </w:t>
      </w:r>
      <w:r w:rsidR="004830A1" w:rsidRPr="00FA1690">
        <w:rPr>
          <w:rFonts w:ascii="Arial" w:hAnsi="Arial" w:cs="Arial"/>
        </w:rPr>
        <w:t>evaluation,</w:t>
      </w:r>
      <w:r w:rsidRPr="00FA1690">
        <w:rPr>
          <w:rFonts w:ascii="Arial" w:hAnsi="Arial" w:cs="Arial"/>
        </w:rPr>
        <w:t xml:space="preserve"> we assume that each macro base station consist of 3 sectors. The pico, femto, and LSAS base stations are assumed to consist </w:t>
      </w:r>
      <w:r w:rsidRPr="00FA1690">
        <w:rPr>
          <w:rFonts w:ascii="Arial" w:hAnsi="Arial" w:cs="Arial"/>
        </w:rPr>
        <w:lastRenderedPageBreak/>
        <w:t>of 1 sector.</w:t>
      </w:r>
      <w:r w:rsidR="00BC2406" w:rsidRPr="00FA1690">
        <w:rPr>
          <w:rFonts w:ascii="Arial" w:hAnsi="Arial" w:cs="Arial"/>
        </w:rPr>
        <w:t xml:space="preserve"> The LSAS (large scale antenna system) power model correspond to a massive MIMO base station with a single antenna panel consisting of 200 antenna elements having a total maximum RF transmission power of 4</w:t>
      </w:r>
      <w:r w:rsidR="00D05F08" w:rsidRPr="00FA1690">
        <w:rPr>
          <w:rFonts w:ascii="Arial" w:hAnsi="Arial" w:cs="Arial"/>
        </w:rPr>
        <w:t>1</w:t>
      </w:r>
      <w:r w:rsidR="00BC2406" w:rsidRPr="00FA1690">
        <w:rPr>
          <w:rFonts w:ascii="Arial" w:hAnsi="Arial" w:cs="Arial"/>
        </w:rPr>
        <w:t xml:space="preserve"> </w:t>
      </w:r>
      <w:r w:rsidR="00D05F08" w:rsidRPr="00FA1690">
        <w:rPr>
          <w:rFonts w:ascii="Arial" w:hAnsi="Arial" w:cs="Arial"/>
        </w:rPr>
        <w:t>dBm</w:t>
      </w:r>
      <w:r w:rsidR="00BC2406" w:rsidRPr="00FA1690">
        <w:rPr>
          <w:rFonts w:ascii="Arial" w:hAnsi="Arial" w:cs="Arial"/>
        </w:rPr>
        <w:t>.</w:t>
      </w:r>
    </w:p>
    <w:p w14:paraId="19F92FBC" w14:textId="030FA2C0" w:rsidR="00D05F08" w:rsidRPr="00FA1690" w:rsidRDefault="00D05F08" w:rsidP="00D05F08">
      <w:pPr>
        <w:rPr>
          <w:rFonts w:ascii="Arial" w:hAnsi="Arial" w:cs="Arial"/>
        </w:rPr>
      </w:pPr>
      <w:r w:rsidRPr="00FA1690">
        <w:rPr>
          <w:rFonts w:ascii="Arial" w:hAnsi="Arial" w:cs="Arial"/>
        </w:rPr>
        <w:t xml:space="preserve">One thing to note is that the macro base station power models use large power amplifiers that dominate the power consumption of these nodes. For the low power base stations (pico/femto) the power consumption of baseband processing components </w:t>
      </w:r>
      <w:r w:rsidR="00AA01AD" w:rsidRPr="00FA1690">
        <w:rPr>
          <w:rFonts w:ascii="Arial" w:hAnsi="Arial" w:cs="Arial"/>
        </w:rPr>
        <w:t>constitutes</w:t>
      </w:r>
      <w:r w:rsidRPr="00FA1690">
        <w:rPr>
          <w:rFonts w:ascii="Arial" w:hAnsi="Arial" w:cs="Arial"/>
        </w:rPr>
        <w:t xml:space="preserve"> the largest fraction of the power consumption.</w:t>
      </w:r>
      <w:r w:rsidR="00AA01AD" w:rsidRPr="00FA1690">
        <w:rPr>
          <w:rFonts w:ascii="Arial" w:hAnsi="Arial" w:cs="Arial"/>
        </w:rPr>
        <w:t xml:space="preserve"> </w:t>
      </w:r>
      <w:r w:rsidRPr="00FA1690">
        <w:rPr>
          <w:rFonts w:ascii="Arial" w:hAnsi="Arial" w:cs="Arial"/>
        </w:rPr>
        <w:t xml:space="preserve">For </w:t>
      </w:r>
      <w:r w:rsidR="00AA01AD" w:rsidRPr="00FA1690">
        <w:rPr>
          <w:rFonts w:ascii="Arial" w:hAnsi="Arial" w:cs="Arial"/>
        </w:rPr>
        <w:t>low power base stations,</w:t>
      </w:r>
      <w:r w:rsidRPr="00FA1690">
        <w:rPr>
          <w:rFonts w:ascii="Arial" w:hAnsi="Arial" w:cs="Arial"/>
        </w:rPr>
        <w:t xml:space="preserve"> we have very low RF power and in these cells the base band is dominating. For small cells</w:t>
      </w:r>
      <w:r w:rsidR="00AA01AD" w:rsidRPr="00FA1690">
        <w:rPr>
          <w:rFonts w:ascii="Arial" w:hAnsi="Arial" w:cs="Arial"/>
        </w:rPr>
        <w:t>,</w:t>
      </w:r>
      <w:r w:rsidRPr="00FA1690">
        <w:rPr>
          <w:rFonts w:ascii="Arial" w:hAnsi="Arial" w:cs="Arial"/>
        </w:rPr>
        <w:t xml:space="preserve"> </w:t>
      </w:r>
      <w:r w:rsidR="00AA01AD" w:rsidRPr="00FA1690">
        <w:rPr>
          <w:rFonts w:ascii="Arial" w:hAnsi="Arial" w:cs="Arial"/>
        </w:rPr>
        <w:t>discontinuous reception</w:t>
      </w:r>
      <w:r w:rsidRPr="00FA1690">
        <w:rPr>
          <w:rFonts w:ascii="Arial" w:hAnsi="Arial" w:cs="Arial"/>
        </w:rPr>
        <w:t xml:space="preserve"> </w:t>
      </w:r>
      <w:r w:rsidR="00AA01AD" w:rsidRPr="00FA1690">
        <w:rPr>
          <w:rFonts w:ascii="Arial" w:hAnsi="Arial" w:cs="Arial"/>
        </w:rPr>
        <w:t xml:space="preserve">(DRX) </w:t>
      </w:r>
      <w:r w:rsidRPr="00FA1690">
        <w:rPr>
          <w:rFonts w:ascii="Arial" w:hAnsi="Arial" w:cs="Arial"/>
        </w:rPr>
        <w:t xml:space="preserve">and de-activation of base band processors </w:t>
      </w:r>
      <w:r w:rsidR="00AA01AD" w:rsidRPr="00FA1690">
        <w:rPr>
          <w:rFonts w:ascii="Arial" w:hAnsi="Arial" w:cs="Arial"/>
        </w:rPr>
        <w:t>will also have a big impact on the power consumption</w:t>
      </w:r>
      <w:r w:rsidRPr="00FA1690">
        <w:rPr>
          <w:rFonts w:ascii="Arial" w:hAnsi="Arial" w:cs="Arial"/>
        </w:rPr>
        <w:t>.</w:t>
      </w:r>
      <w:r w:rsidR="00AA01AD" w:rsidRPr="00FA1690">
        <w:rPr>
          <w:rFonts w:ascii="Arial" w:hAnsi="Arial" w:cs="Arial"/>
        </w:rPr>
        <w:t xml:space="preserve"> Hence the relative gain with discontinuous transmission (DTX) can be expected to be larger for macro base stations larger in these types of base stations</w:t>
      </w:r>
      <w:r w:rsidR="00FA1690">
        <w:rPr>
          <w:rFonts w:ascii="Arial" w:hAnsi="Arial" w:cs="Arial"/>
        </w:rPr>
        <w:t>.</w:t>
      </w:r>
    </w:p>
    <w:p w14:paraId="60DEF244" w14:textId="77777777" w:rsidR="00D05F08" w:rsidRPr="00FA1690" w:rsidRDefault="00D05F08" w:rsidP="00457E95">
      <w:pPr>
        <w:rPr>
          <w:rFonts w:ascii="Arial" w:hAnsi="Arial" w:cs="Arial"/>
        </w:rPr>
      </w:pPr>
    </w:p>
    <w:p w14:paraId="38C8A177" w14:textId="77777777" w:rsidR="007A52A4" w:rsidRPr="00FA1690" w:rsidRDefault="007A52A4" w:rsidP="007A52A4">
      <w:pPr>
        <w:keepNext/>
        <w:rPr>
          <w:rFonts w:ascii="Arial" w:hAnsi="Arial" w:cs="Arial"/>
        </w:rPr>
      </w:pPr>
      <w:r w:rsidRPr="00FA1690">
        <w:rPr>
          <w:rFonts w:ascii="Arial" w:hAnsi="Arial" w:cs="Arial"/>
          <w:noProof/>
        </w:rPr>
        <w:drawing>
          <wp:inline distT="0" distB="0" distL="0" distR="0" wp14:anchorId="7855CC34" wp14:editId="2EF9A574">
            <wp:extent cx="5886450" cy="362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92976" cy="3629870"/>
                    </a:xfrm>
                    <a:prstGeom prst="rect">
                      <a:avLst/>
                    </a:prstGeom>
                    <a:noFill/>
                    <a:ln>
                      <a:noFill/>
                    </a:ln>
                    <a:extLst>
                      <a:ext uri="{53640926-AAD7-44D8-BBD7-CCE9431645EC}">
                        <a14:shadowObscured xmlns:a14="http://schemas.microsoft.com/office/drawing/2010/main"/>
                      </a:ext>
                    </a:extLst>
                  </pic:spPr>
                </pic:pic>
              </a:graphicData>
            </a:graphic>
          </wp:inline>
        </w:drawing>
      </w:r>
    </w:p>
    <w:p w14:paraId="55D9D43E" w14:textId="30C00CE1" w:rsidR="00457E95" w:rsidRPr="00FA1690" w:rsidRDefault="007A52A4" w:rsidP="00457E95">
      <w:pPr>
        <w:pStyle w:val="Caption"/>
        <w:jc w:val="both"/>
        <w:rPr>
          <w:rFonts w:ascii="Arial" w:hAnsi="Arial" w:cs="Arial"/>
        </w:rPr>
      </w:pPr>
      <w:bookmarkStart w:id="5" w:name="_Ref498084219"/>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2</w:t>
      </w:r>
      <w:r w:rsidR="00BA5427" w:rsidRPr="00FA1690">
        <w:rPr>
          <w:rFonts w:ascii="Arial" w:hAnsi="Arial" w:cs="Arial"/>
          <w:noProof/>
        </w:rPr>
        <w:fldChar w:fldCharType="end"/>
      </w:r>
      <w:bookmarkEnd w:id="5"/>
      <w:r w:rsidRPr="00FA1690">
        <w:rPr>
          <w:rFonts w:ascii="Arial" w:hAnsi="Arial" w:cs="Arial"/>
        </w:rPr>
        <w:t xml:space="preserve">: </w:t>
      </w:r>
      <w:r w:rsidR="00457E95" w:rsidRPr="00FA1690">
        <w:rPr>
          <w:rFonts w:ascii="Arial" w:hAnsi="Arial" w:cs="Arial"/>
        </w:rPr>
        <w:t>Power models including sleep states for different base station types.</w:t>
      </w:r>
      <w:r w:rsidR="00457E95" w:rsidRPr="00FA1690">
        <w:rPr>
          <w:rFonts w:ascii="Arial" w:eastAsiaTheme="minorEastAsia" w:hAnsi="Arial" w:cs="Arial"/>
          <w:bCs w:val="0"/>
          <w:color w:val="000000" w:themeColor="text1"/>
          <w:kern w:val="24"/>
          <w:sz w:val="16"/>
          <w:szCs w:val="16"/>
          <w:lang w:eastAsia="sv-SE"/>
        </w:rPr>
        <w:t xml:space="preserve"> (</w:t>
      </w:r>
      <w:r w:rsidR="00457E95" w:rsidRPr="00FA1690">
        <w:rPr>
          <w:rFonts w:ascii="Arial" w:hAnsi="Arial" w:cs="Arial"/>
        </w:rPr>
        <w:t xml:space="preserve">Source: Debaillie, Desset, Louagie, </w:t>
      </w:r>
      <w:r w:rsidR="00457E95" w:rsidRPr="00FA1690">
        <w:rPr>
          <w:rFonts w:ascii="Arial" w:hAnsi="Arial" w:cs="Arial"/>
          <w:i/>
          <w:iCs/>
        </w:rPr>
        <w:t>A Flexible and Future-Proof Power Model for Cellular Base Stations</w:t>
      </w:r>
      <w:r w:rsidR="00457E95" w:rsidRPr="00FA1690">
        <w:rPr>
          <w:rFonts w:ascii="Arial" w:hAnsi="Arial" w:cs="Arial"/>
        </w:rPr>
        <w:t>, In Proc. IEEE Vehicular Tech. Conf. Spring 2015, Glasgow, Scotland, May 2015).</w:t>
      </w:r>
    </w:p>
    <w:p w14:paraId="540B2DB9" w14:textId="0C1FB897" w:rsidR="006925C5" w:rsidRPr="00FA1690" w:rsidRDefault="006925C5" w:rsidP="006925C5">
      <w:pPr>
        <w:rPr>
          <w:rFonts w:ascii="Arial" w:hAnsi="Arial" w:cs="Arial"/>
        </w:rPr>
      </w:pPr>
      <w:r w:rsidRPr="00FA1690">
        <w:rPr>
          <w:rFonts w:ascii="Arial" w:hAnsi="Arial" w:cs="Arial"/>
        </w:rPr>
        <w:t xml:space="preserve">An examination of the relative numbers in the power model is depicted in </w:t>
      </w:r>
      <w:r w:rsidRPr="00FA1690">
        <w:rPr>
          <w:rFonts w:ascii="Arial" w:hAnsi="Arial" w:cs="Arial"/>
        </w:rPr>
        <w:fldChar w:fldCharType="begin"/>
      </w:r>
      <w:r w:rsidRPr="00FA1690">
        <w:rPr>
          <w:rFonts w:ascii="Arial" w:hAnsi="Arial" w:cs="Arial"/>
        </w:rPr>
        <w:instrText xml:space="preserve"> REF _Ref498085358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2</w:t>
      </w:r>
      <w:r w:rsidRPr="00FA1690">
        <w:rPr>
          <w:rFonts w:ascii="Arial" w:hAnsi="Arial" w:cs="Arial"/>
        </w:rPr>
        <w:fldChar w:fldCharType="end"/>
      </w:r>
      <w:r w:rsidRPr="00FA1690">
        <w:rPr>
          <w:rFonts w:ascii="Arial" w:hAnsi="Arial" w:cs="Arial"/>
        </w:rPr>
        <w:t>. We note that for the macro models the difference between the P</w:t>
      </w:r>
      <w:r w:rsidRPr="00FA1690">
        <w:rPr>
          <w:rFonts w:ascii="Arial" w:hAnsi="Arial" w:cs="Arial"/>
          <w:vertAlign w:val="subscript"/>
        </w:rPr>
        <w:t>0</w:t>
      </w:r>
      <w:r w:rsidRPr="00FA1690">
        <w:rPr>
          <w:rFonts w:ascii="Arial" w:hAnsi="Arial" w:cs="Arial"/>
        </w:rPr>
        <w:t xml:space="preserve"> and Sleep 1 is relatively small and that the largest benefits with sleep duration are obtained in the Sleep 2 state. Additional gains with going to deeper sleep (Sleep 3 and Sleep 4) states are relatively minor for the macro power models (macro 2x2 and macro 4x4).  </w:t>
      </w:r>
    </w:p>
    <w:p w14:paraId="69030FC2" w14:textId="09997CB3" w:rsidR="00131580" w:rsidRPr="00FA1690" w:rsidRDefault="00131580" w:rsidP="007A52A4">
      <w:pPr>
        <w:pStyle w:val="Caption"/>
        <w:jc w:val="both"/>
        <w:rPr>
          <w:rFonts w:ascii="Arial" w:hAnsi="Arial" w:cs="Arial"/>
        </w:rPr>
      </w:pPr>
    </w:p>
    <w:p w14:paraId="05951AC5" w14:textId="77777777" w:rsidR="007A52A4" w:rsidRPr="00FA1690" w:rsidRDefault="007A52A4" w:rsidP="007A52A4">
      <w:pPr>
        <w:keepNext/>
        <w:jc w:val="center"/>
        <w:rPr>
          <w:rFonts w:ascii="Arial" w:hAnsi="Arial" w:cs="Arial"/>
        </w:rPr>
      </w:pPr>
      <w:r w:rsidRPr="00FA1690">
        <w:rPr>
          <w:rFonts w:ascii="Arial" w:hAnsi="Arial" w:cs="Arial"/>
          <w:noProof/>
        </w:rPr>
        <w:drawing>
          <wp:inline distT="0" distB="0" distL="0" distR="0" wp14:anchorId="0ECD41F2" wp14:editId="653DC33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067D0FAA" w14:textId="0E89AD98" w:rsidR="007A52A4" w:rsidRPr="00FA1690" w:rsidRDefault="007A52A4" w:rsidP="007A52A4">
      <w:pPr>
        <w:pStyle w:val="Caption"/>
        <w:rPr>
          <w:rFonts w:ascii="Arial" w:hAnsi="Arial" w:cs="Arial"/>
        </w:rPr>
      </w:pPr>
      <w:bookmarkStart w:id="6" w:name="_Ref498085358"/>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3</w:t>
      </w:r>
      <w:r w:rsidR="00BA5427" w:rsidRPr="00FA1690">
        <w:rPr>
          <w:rFonts w:ascii="Arial" w:hAnsi="Arial" w:cs="Arial"/>
          <w:noProof/>
        </w:rPr>
        <w:fldChar w:fldCharType="end"/>
      </w:r>
      <w:bookmarkEnd w:id="6"/>
      <w:r w:rsidRPr="00FA1690">
        <w:rPr>
          <w:rFonts w:ascii="Arial" w:hAnsi="Arial" w:cs="Arial"/>
        </w:rPr>
        <w:t xml:space="preserve">: </w:t>
      </w:r>
      <w:r w:rsidR="006925C5" w:rsidRPr="00FA1690">
        <w:rPr>
          <w:rFonts w:ascii="Arial" w:hAnsi="Arial" w:cs="Arial"/>
        </w:rPr>
        <w:t xml:space="preserve">An examination of the relative numbers in the power model. </w:t>
      </w:r>
    </w:p>
    <w:p w14:paraId="016A1646" w14:textId="1A9F59B2" w:rsidR="007A52A4" w:rsidRPr="00FA1690" w:rsidRDefault="007A52A4" w:rsidP="007A52A4">
      <w:pPr>
        <w:pStyle w:val="Heading2"/>
      </w:pPr>
      <w:r w:rsidRPr="00FA1690">
        <w:t>LTE idle mode reference case</w:t>
      </w:r>
    </w:p>
    <w:p w14:paraId="6E40D0B6" w14:textId="37F91E9F" w:rsidR="006925C5" w:rsidRPr="00FA1690" w:rsidRDefault="006925C5" w:rsidP="006925C5">
      <w:pPr>
        <w:rPr>
          <w:rFonts w:ascii="Arial" w:hAnsi="Arial" w:cs="Arial"/>
        </w:rPr>
      </w:pPr>
      <w:r w:rsidRPr="00FA1690">
        <w:rPr>
          <w:rFonts w:ascii="Arial" w:hAnsi="Arial" w:cs="Arial"/>
        </w:rPr>
        <w:t xml:space="preserve">The EARTH project defined an energy efficiency evaluation framework (E3F) for radio networks consisting of base station power models, traffic models, and deployment models. When using that model, we have discovered that the traffic has a very minor impact on the network energy consumption. Most cells in a nationwide network are empty most of the time, if we examine the network on a ms time scale. The impact that the user traffic has on the network energy consumption is in the lower single digit percentage range (in </w:t>
      </w:r>
      <w:r w:rsidR="00194AA8" w:rsidRPr="00FA1690">
        <w:rPr>
          <w:rFonts w:ascii="Arial" w:hAnsi="Arial" w:cs="Arial"/>
          <w:highlight w:val="yellow"/>
        </w:rPr>
        <w:fldChar w:fldCharType="begin"/>
      </w:r>
      <w:r w:rsidR="00194AA8" w:rsidRPr="00FA1690">
        <w:rPr>
          <w:rFonts w:ascii="Arial" w:hAnsi="Arial" w:cs="Arial"/>
        </w:rPr>
        <w:instrText xml:space="preserve"> REF _Ref498091529 \r \h </w:instrText>
      </w:r>
      <w:r w:rsidR="00FA1690">
        <w:rPr>
          <w:rFonts w:ascii="Arial" w:hAnsi="Arial" w:cs="Arial"/>
          <w:highlight w:val="yellow"/>
        </w:rPr>
        <w:instrText xml:space="preserve"> \* MERGEFORMAT </w:instrText>
      </w:r>
      <w:r w:rsidR="00194AA8" w:rsidRPr="00FA1690">
        <w:rPr>
          <w:rFonts w:ascii="Arial" w:hAnsi="Arial" w:cs="Arial"/>
          <w:highlight w:val="yellow"/>
        </w:rPr>
      </w:r>
      <w:r w:rsidR="00194AA8" w:rsidRPr="00FA1690">
        <w:rPr>
          <w:rFonts w:ascii="Arial" w:hAnsi="Arial" w:cs="Arial"/>
          <w:highlight w:val="yellow"/>
        </w:rPr>
        <w:fldChar w:fldCharType="separate"/>
      </w:r>
      <w:r w:rsidR="00194AA8" w:rsidRPr="00FA1690">
        <w:rPr>
          <w:rFonts w:ascii="Arial" w:hAnsi="Arial" w:cs="Arial"/>
        </w:rPr>
        <w:t>[6]</w:t>
      </w:r>
      <w:r w:rsidR="00194AA8" w:rsidRPr="00FA1690">
        <w:rPr>
          <w:rFonts w:ascii="Arial" w:hAnsi="Arial" w:cs="Arial"/>
          <w:highlight w:val="yellow"/>
        </w:rPr>
        <w:fldChar w:fldCharType="end"/>
      </w:r>
      <w:r w:rsidRPr="00FA1690">
        <w:rPr>
          <w:rFonts w:ascii="Arial" w:hAnsi="Arial" w:cs="Arial"/>
        </w:rPr>
        <w:t xml:space="preserve"> it was estimated to be 1.4% in a nationwide LTE network)</w:t>
      </w:r>
      <w:r w:rsidR="00194AA8" w:rsidRPr="00FA1690">
        <w:rPr>
          <w:rFonts w:ascii="Arial" w:hAnsi="Arial" w:cs="Arial"/>
        </w:rPr>
        <w:t>.</w:t>
      </w:r>
    </w:p>
    <w:p w14:paraId="676124FE" w14:textId="6B188237" w:rsidR="00194AA8" w:rsidRPr="00FA1690" w:rsidRDefault="00194AA8" w:rsidP="006925C5">
      <w:pPr>
        <w:rPr>
          <w:rFonts w:ascii="Arial" w:hAnsi="Arial" w:cs="Arial"/>
        </w:rPr>
      </w:pPr>
      <w:r w:rsidRPr="00FA1690">
        <w:rPr>
          <w:rFonts w:ascii="Arial" w:hAnsi="Arial" w:cs="Arial"/>
        </w:rPr>
        <w:t xml:space="preserve">The idle mode signals that need to be transmitted from an LTE cell is depicted in </w:t>
      </w:r>
      <w:r w:rsidRPr="00FA1690">
        <w:rPr>
          <w:rFonts w:ascii="Arial" w:hAnsi="Arial" w:cs="Arial"/>
        </w:rPr>
        <w:fldChar w:fldCharType="begin"/>
      </w:r>
      <w:r w:rsidRPr="00FA1690">
        <w:rPr>
          <w:rFonts w:ascii="Arial" w:hAnsi="Arial" w:cs="Arial"/>
        </w:rPr>
        <w:instrText xml:space="preserve"> REF _Ref498091648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3</w:t>
      </w:r>
      <w:r w:rsidRPr="00FA1690">
        <w:rPr>
          <w:rFonts w:ascii="Arial" w:hAnsi="Arial" w:cs="Arial"/>
        </w:rPr>
        <w:fldChar w:fldCharType="end"/>
      </w:r>
      <w:r w:rsidRPr="00FA1690">
        <w:rPr>
          <w:rFonts w:ascii="Arial" w:hAnsi="Arial" w:cs="Arial"/>
        </w:rPr>
        <w:t xml:space="preserve">. All sub-frames contain CRS transmissions. Sub-frame 0 contains the PSS, SSS, and PBCH in addition. System information is assumed to be transmitted in sub-frame 5. </w:t>
      </w:r>
    </w:p>
    <w:p w14:paraId="5515EE69" w14:textId="77777777" w:rsidR="007A52A4" w:rsidRPr="00FA1690" w:rsidRDefault="007A52A4" w:rsidP="007A52A4">
      <w:pPr>
        <w:rPr>
          <w:rFonts w:ascii="Arial" w:hAnsi="Arial" w:cs="Arial"/>
        </w:rPr>
      </w:pPr>
    </w:p>
    <w:p w14:paraId="7B7D75D4" w14:textId="1746F74C" w:rsidR="007A52A4" w:rsidRPr="00FA1690" w:rsidRDefault="007A52A4" w:rsidP="007A52A4">
      <w:pPr>
        <w:keepNext/>
        <w:rPr>
          <w:rFonts w:ascii="Arial" w:hAnsi="Arial" w:cs="Arial"/>
        </w:rPr>
      </w:pPr>
      <w:r w:rsidRPr="00FA1690">
        <w:rPr>
          <w:rFonts w:ascii="Arial" w:hAnsi="Arial" w:cs="Arial"/>
          <w:noProof/>
        </w:rPr>
        <w:drawing>
          <wp:inline distT="0" distB="0" distL="0" distR="0" wp14:anchorId="7932F9AB" wp14:editId="504E05AE">
            <wp:extent cx="6290771" cy="250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559" cy="2506982"/>
                    </a:xfrm>
                    <a:prstGeom prst="rect">
                      <a:avLst/>
                    </a:prstGeom>
                    <a:noFill/>
                  </pic:spPr>
                </pic:pic>
              </a:graphicData>
            </a:graphic>
          </wp:inline>
        </w:drawing>
      </w:r>
    </w:p>
    <w:p w14:paraId="736E3CFF" w14:textId="08FC1EBF" w:rsidR="007A52A4" w:rsidRPr="00FA1690" w:rsidRDefault="007A52A4" w:rsidP="007A52A4">
      <w:pPr>
        <w:pStyle w:val="Caption"/>
        <w:jc w:val="both"/>
        <w:rPr>
          <w:rFonts w:ascii="Arial" w:hAnsi="Arial" w:cs="Arial"/>
        </w:rPr>
      </w:pPr>
      <w:bookmarkStart w:id="7" w:name="_Ref498091648"/>
      <w:bookmarkStart w:id="8" w:name="_Ref498091635"/>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4</w:t>
      </w:r>
      <w:r w:rsidR="00BA5427" w:rsidRPr="00FA1690">
        <w:rPr>
          <w:rFonts w:ascii="Arial" w:hAnsi="Arial" w:cs="Arial"/>
          <w:noProof/>
        </w:rPr>
        <w:fldChar w:fldCharType="end"/>
      </w:r>
      <w:bookmarkEnd w:id="7"/>
      <w:r w:rsidRPr="00FA1690">
        <w:rPr>
          <w:rFonts w:ascii="Arial" w:hAnsi="Arial" w:cs="Arial"/>
        </w:rPr>
        <w:t>:</w:t>
      </w:r>
      <w:r w:rsidR="00194AA8" w:rsidRPr="00FA1690">
        <w:rPr>
          <w:rFonts w:ascii="Arial" w:hAnsi="Arial" w:cs="Arial"/>
        </w:rPr>
        <w:t>The instantaneous load of the power amplifier (PA) in an “empty” LTE radio frame (i.e. a radio frame with no user plane data).</w:t>
      </w:r>
      <w:bookmarkEnd w:id="8"/>
    </w:p>
    <w:p w14:paraId="1EB5728B" w14:textId="03C37E50" w:rsidR="00194AA8" w:rsidRPr="00FA1690" w:rsidRDefault="00194AA8" w:rsidP="00194AA8">
      <w:pPr>
        <w:rPr>
          <w:rFonts w:ascii="Arial" w:hAnsi="Arial" w:cs="Arial"/>
        </w:rPr>
      </w:pPr>
      <w:r w:rsidRPr="00FA1690">
        <w:rPr>
          <w:rFonts w:ascii="Arial" w:hAnsi="Arial" w:cs="Arial"/>
        </w:rPr>
        <w:t xml:space="preserve">With the load profile from </w:t>
      </w:r>
      <w:r w:rsidRPr="00FA1690">
        <w:rPr>
          <w:rFonts w:ascii="Arial" w:hAnsi="Arial" w:cs="Arial"/>
        </w:rPr>
        <w:fldChar w:fldCharType="begin"/>
      </w:r>
      <w:r w:rsidRPr="00FA1690">
        <w:rPr>
          <w:rFonts w:ascii="Arial" w:hAnsi="Arial" w:cs="Arial"/>
        </w:rPr>
        <w:instrText xml:space="preserve"> REF _Ref498091648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3</w:t>
      </w:r>
      <w:r w:rsidRPr="00FA1690">
        <w:rPr>
          <w:rFonts w:ascii="Arial" w:hAnsi="Arial" w:cs="Arial"/>
        </w:rPr>
        <w:fldChar w:fldCharType="end"/>
      </w:r>
      <w:r w:rsidRPr="00FA1690">
        <w:rPr>
          <w:rFonts w:ascii="Arial" w:hAnsi="Arial" w:cs="Arial"/>
        </w:rPr>
        <w:t xml:space="preserve"> we can apply one of the power models depicted in </w:t>
      </w:r>
      <w:r w:rsidRPr="00FA1690">
        <w:rPr>
          <w:rFonts w:ascii="Arial" w:hAnsi="Arial" w:cs="Arial"/>
        </w:rPr>
        <w:fldChar w:fldCharType="begin"/>
      </w:r>
      <w:r w:rsidRPr="00FA1690">
        <w:rPr>
          <w:rFonts w:ascii="Arial" w:hAnsi="Arial" w:cs="Arial"/>
        </w:rPr>
        <w:instrText xml:space="preserve"> REF _Ref498084219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1</w:t>
      </w:r>
      <w:r w:rsidRPr="00FA1690">
        <w:rPr>
          <w:rFonts w:ascii="Arial" w:hAnsi="Arial" w:cs="Arial"/>
        </w:rPr>
        <w:fldChar w:fldCharType="end"/>
      </w:r>
      <w:r w:rsidRPr="00FA1690">
        <w:rPr>
          <w:rFonts w:ascii="Arial" w:hAnsi="Arial" w:cs="Arial"/>
        </w:rPr>
        <w:t xml:space="preserve">. Using the macro 2x2 power model we obtain the instantaneous power consumption profile for an empty LTE cell as depicted in </w:t>
      </w:r>
      <w:r w:rsidRPr="00FA1690">
        <w:rPr>
          <w:rFonts w:ascii="Arial" w:hAnsi="Arial" w:cs="Arial"/>
        </w:rPr>
        <w:fldChar w:fldCharType="begin"/>
      </w:r>
      <w:r w:rsidRPr="00FA1690">
        <w:rPr>
          <w:rFonts w:ascii="Arial" w:hAnsi="Arial" w:cs="Arial"/>
        </w:rPr>
        <w:instrText xml:space="preserve"> REF _Ref498091830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4</w:t>
      </w:r>
      <w:r w:rsidRPr="00FA1690">
        <w:rPr>
          <w:rFonts w:ascii="Arial" w:hAnsi="Arial" w:cs="Arial"/>
        </w:rPr>
        <w:fldChar w:fldCharType="end"/>
      </w:r>
      <w:r w:rsidRPr="00FA1690">
        <w:rPr>
          <w:rFonts w:ascii="Arial" w:hAnsi="Arial" w:cs="Arial"/>
        </w:rPr>
        <w:t>.</w:t>
      </w:r>
    </w:p>
    <w:p w14:paraId="7A49EB9A" w14:textId="77777777" w:rsidR="007A52A4" w:rsidRPr="00FA1690" w:rsidRDefault="007A52A4" w:rsidP="007A52A4">
      <w:pPr>
        <w:keepNext/>
        <w:rPr>
          <w:rFonts w:ascii="Arial" w:hAnsi="Arial" w:cs="Arial"/>
        </w:rPr>
      </w:pPr>
      <w:r w:rsidRPr="00FA1690">
        <w:rPr>
          <w:rFonts w:ascii="Arial" w:hAnsi="Arial" w:cs="Arial"/>
          <w:noProof/>
        </w:rPr>
        <w:drawing>
          <wp:inline distT="0" distB="0" distL="0" distR="0" wp14:anchorId="71CE169B" wp14:editId="72E8FE3D">
            <wp:extent cx="6266852" cy="2495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73896" cy="2498355"/>
                    </a:xfrm>
                    <a:prstGeom prst="rect">
                      <a:avLst/>
                    </a:prstGeom>
                  </pic:spPr>
                </pic:pic>
              </a:graphicData>
            </a:graphic>
          </wp:inline>
        </w:drawing>
      </w:r>
    </w:p>
    <w:p w14:paraId="7B93B22A" w14:textId="7DD16B98" w:rsidR="007A52A4" w:rsidRPr="00FA1690" w:rsidRDefault="007A52A4" w:rsidP="007A52A4">
      <w:pPr>
        <w:pStyle w:val="Caption"/>
        <w:jc w:val="both"/>
        <w:rPr>
          <w:rFonts w:ascii="Arial" w:hAnsi="Arial" w:cs="Arial"/>
        </w:rPr>
      </w:pPr>
      <w:bookmarkStart w:id="9" w:name="_Ref498091830"/>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5</w:t>
      </w:r>
      <w:r w:rsidR="00BA5427" w:rsidRPr="00FA1690">
        <w:rPr>
          <w:rFonts w:ascii="Arial" w:hAnsi="Arial" w:cs="Arial"/>
          <w:noProof/>
        </w:rPr>
        <w:fldChar w:fldCharType="end"/>
      </w:r>
      <w:bookmarkEnd w:id="9"/>
      <w:r w:rsidRPr="00FA1690">
        <w:rPr>
          <w:rFonts w:ascii="Arial" w:hAnsi="Arial" w:cs="Arial"/>
        </w:rPr>
        <w:t xml:space="preserve">: </w:t>
      </w:r>
      <w:r w:rsidR="00194AA8" w:rsidRPr="00FA1690">
        <w:rPr>
          <w:rFonts w:ascii="Arial" w:hAnsi="Arial" w:cs="Arial"/>
        </w:rPr>
        <w:t xml:space="preserve">Instantaneous power consumption of a 3-sector “macro 2x2” base station using the power model depicted in </w:t>
      </w:r>
      <w:r w:rsidR="00194AA8" w:rsidRPr="00FA1690">
        <w:rPr>
          <w:rFonts w:ascii="Arial" w:hAnsi="Arial" w:cs="Arial"/>
        </w:rPr>
        <w:fldChar w:fldCharType="begin"/>
      </w:r>
      <w:r w:rsidR="00194AA8" w:rsidRPr="00FA1690">
        <w:rPr>
          <w:rFonts w:ascii="Arial" w:hAnsi="Arial" w:cs="Arial"/>
        </w:rPr>
        <w:instrText xml:space="preserve"> REF _Ref498084219 \h </w:instrText>
      </w:r>
      <w:r w:rsidR="00FA1690">
        <w:rPr>
          <w:rFonts w:ascii="Arial" w:hAnsi="Arial" w:cs="Arial"/>
        </w:rPr>
        <w:instrText xml:space="preserve"> \* MERGEFORMAT </w:instrText>
      </w:r>
      <w:r w:rsidR="00194AA8" w:rsidRPr="00FA1690">
        <w:rPr>
          <w:rFonts w:ascii="Arial" w:hAnsi="Arial" w:cs="Arial"/>
        </w:rPr>
      </w:r>
      <w:r w:rsidR="00194AA8" w:rsidRPr="00FA1690">
        <w:rPr>
          <w:rFonts w:ascii="Arial" w:hAnsi="Arial" w:cs="Arial"/>
        </w:rPr>
        <w:fldChar w:fldCharType="separate"/>
      </w:r>
      <w:r w:rsidR="00194AA8" w:rsidRPr="00FA1690">
        <w:rPr>
          <w:rFonts w:ascii="Arial" w:hAnsi="Arial" w:cs="Arial"/>
        </w:rPr>
        <w:t xml:space="preserve">Figure </w:t>
      </w:r>
      <w:r w:rsidR="00194AA8" w:rsidRPr="00FA1690">
        <w:rPr>
          <w:rFonts w:ascii="Arial" w:hAnsi="Arial" w:cs="Arial"/>
          <w:noProof/>
        </w:rPr>
        <w:t>1</w:t>
      </w:r>
      <w:r w:rsidR="00194AA8" w:rsidRPr="00FA1690">
        <w:rPr>
          <w:rFonts w:ascii="Arial" w:hAnsi="Arial" w:cs="Arial"/>
        </w:rPr>
        <w:fldChar w:fldCharType="end"/>
      </w:r>
      <w:r w:rsidR="00194AA8" w:rsidRPr="00FA1690">
        <w:rPr>
          <w:rFonts w:ascii="Arial" w:hAnsi="Arial" w:cs="Arial"/>
        </w:rPr>
        <w:t>.</w:t>
      </w:r>
    </w:p>
    <w:p w14:paraId="2733A75F" w14:textId="3A189EB1" w:rsidR="00194AA8" w:rsidRPr="00FA1690" w:rsidRDefault="00194AA8" w:rsidP="00194AA8">
      <w:pPr>
        <w:rPr>
          <w:rFonts w:ascii="Arial" w:hAnsi="Arial" w:cs="Arial"/>
        </w:rPr>
      </w:pPr>
      <w:r w:rsidRPr="00FA1690">
        <w:rPr>
          <w:rFonts w:ascii="Arial" w:hAnsi="Arial" w:cs="Arial"/>
        </w:rPr>
        <w:t xml:space="preserve">In </w:t>
      </w:r>
      <w:r w:rsidRPr="00FA1690">
        <w:rPr>
          <w:rFonts w:ascii="Arial" w:hAnsi="Arial" w:cs="Arial"/>
        </w:rPr>
        <w:fldChar w:fldCharType="begin"/>
      </w:r>
      <w:r w:rsidRPr="00FA1690">
        <w:rPr>
          <w:rFonts w:ascii="Arial" w:hAnsi="Arial" w:cs="Arial"/>
        </w:rPr>
        <w:instrText xml:space="preserve"> REF _Ref498091830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4</w:t>
      </w:r>
      <w:r w:rsidRPr="00FA1690">
        <w:rPr>
          <w:rFonts w:ascii="Arial" w:hAnsi="Arial" w:cs="Arial"/>
        </w:rPr>
        <w:fldChar w:fldCharType="end"/>
      </w:r>
      <w:r w:rsidRPr="00FA1690">
        <w:rPr>
          <w:rFonts w:ascii="Arial" w:hAnsi="Arial" w:cs="Arial"/>
        </w:rPr>
        <w:t xml:space="preserve"> we note that the power consumption peaks reach</w:t>
      </w:r>
      <w:r w:rsidR="005F0273" w:rsidRPr="00FA1690">
        <w:rPr>
          <w:rFonts w:ascii="Arial" w:hAnsi="Arial" w:cs="Arial"/>
        </w:rPr>
        <w:t xml:space="preserve"> 725 W. One symbol before each transmission the base station need to become active active (consuming 3 x 114.5 = 343.5 W, see </w:t>
      </w:r>
      <w:r w:rsidR="005F0273" w:rsidRPr="00FA1690">
        <w:rPr>
          <w:rFonts w:ascii="Arial" w:hAnsi="Arial" w:cs="Arial"/>
        </w:rPr>
        <w:fldChar w:fldCharType="begin"/>
      </w:r>
      <w:r w:rsidR="005F0273" w:rsidRPr="00FA1690">
        <w:rPr>
          <w:rFonts w:ascii="Arial" w:hAnsi="Arial" w:cs="Arial"/>
        </w:rPr>
        <w:instrText xml:space="preserve"> REF _Ref498084219 \h </w:instrText>
      </w:r>
      <w:r w:rsidR="00FA1690">
        <w:rPr>
          <w:rFonts w:ascii="Arial" w:hAnsi="Arial" w:cs="Arial"/>
        </w:rPr>
        <w:instrText xml:space="preserve"> \* MERGEFORMAT </w:instrText>
      </w:r>
      <w:r w:rsidR="005F0273" w:rsidRPr="00FA1690">
        <w:rPr>
          <w:rFonts w:ascii="Arial" w:hAnsi="Arial" w:cs="Arial"/>
        </w:rPr>
      </w:r>
      <w:r w:rsidR="005F0273" w:rsidRPr="00FA1690">
        <w:rPr>
          <w:rFonts w:ascii="Arial" w:hAnsi="Arial" w:cs="Arial"/>
        </w:rPr>
        <w:fldChar w:fldCharType="separate"/>
      </w:r>
      <w:r w:rsidR="005F0273" w:rsidRPr="00FA1690">
        <w:rPr>
          <w:rFonts w:ascii="Arial" w:hAnsi="Arial" w:cs="Arial"/>
        </w:rPr>
        <w:t xml:space="preserve">Figure </w:t>
      </w:r>
      <w:r w:rsidR="005F0273" w:rsidRPr="00FA1690">
        <w:rPr>
          <w:rFonts w:ascii="Arial" w:hAnsi="Arial" w:cs="Arial"/>
          <w:noProof/>
        </w:rPr>
        <w:t>1</w:t>
      </w:r>
      <w:r w:rsidR="005F0273" w:rsidRPr="00FA1690">
        <w:rPr>
          <w:rFonts w:ascii="Arial" w:hAnsi="Arial" w:cs="Arial"/>
        </w:rPr>
        <w:fldChar w:fldCharType="end"/>
      </w:r>
      <w:r w:rsidR="005F0273" w:rsidRPr="00FA1690">
        <w:rPr>
          <w:rFonts w:ascii="Arial" w:hAnsi="Arial" w:cs="Arial"/>
        </w:rPr>
        <w:t xml:space="preserve">). The base station is able to sleep for a few of the OFDM symbols, but it can only reach “sleep mode 1” where the consumption is 3 x 76.5 = 229.5 W. The average power consumption in an “empty” radio frame (with no user plane data transmissions) is </w:t>
      </w:r>
      <w:r w:rsidR="0073747A" w:rsidRPr="00FA1690">
        <w:rPr>
          <w:rFonts w:ascii="Arial" w:hAnsi="Arial" w:cs="Arial"/>
        </w:rPr>
        <w:t xml:space="preserve">approximately 400 W when using the macro 2x2 power model in </w:t>
      </w:r>
      <w:r w:rsidR="0073747A" w:rsidRPr="00FA1690">
        <w:rPr>
          <w:rFonts w:ascii="Arial" w:hAnsi="Arial" w:cs="Arial"/>
        </w:rPr>
        <w:fldChar w:fldCharType="begin"/>
      </w:r>
      <w:r w:rsidR="0073747A" w:rsidRPr="00FA1690">
        <w:rPr>
          <w:rFonts w:ascii="Arial" w:hAnsi="Arial" w:cs="Arial"/>
        </w:rPr>
        <w:instrText xml:space="preserve"> REF _Ref498091830 \h </w:instrText>
      </w:r>
      <w:r w:rsidR="00FA1690">
        <w:rPr>
          <w:rFonts w:ascii="Arial" w:hAnsi="Arial" w:cs="Arial"/>
        </w:rPr>
        <w:instrText xml:space="preserve"> \* MERGEFORMAT </w:instrText>
      </w:r>
      <w:r w:rsidR="0073747A" w:rsidRPr="00FA1690">
        <w:rPr>
          <w:rFonts w:ascii="Arial" w:hAnsi="Arial" w:cs="Arial"/>
        </w:rPr>
      </w:r>
      <w:r w:rsidR="0073747A" w:rsidRPr="00FA1690">
        <w:rPr>
          <w:rFonts w:ascii="Arial" w:hAnsi="Arial" w:cs="Arial"/>
        </w:rPr>
        <w:fldChar w:fldCharType="separate"/>
      </w:r>
      <w:r w:rsidR="0073747A" w:rsidRPr="00FA1690">
        <w:rPr>
          <w:rFonts w:ascii="Arial" w:hAnsi="Arial" w:cs="Arial"/>
        </w:rPr>
        <w:t xml:space="preserve">Figure </w:t>
      </w:r>
      <w:r w:rsidR="0073747A" w:rsidRPr="00FA1690">
        <w:rPr>
          <w:rFonts w:ascii="Arial" w:hAnsi="Arial" w:cs="Arial"/>
          <w:noProof/>
        </w:rPr>
        <w:t>4</w:t>
      </w:r>
      <w:r w:rsidR="0073747A" w:rsidRPr="00FA1690">
        <w:rPr>
          <w:rFonts w:ascii="Arial" w:hAnsi="Arial" w:cs="Arial"/>
        </w:rPr>
        <w:fldChar w:fldCharType="end"/>
      </w:r>
      <w:r w:rsidR="0073747A" w:rsidRPr="00FA1690">
        <w:rPr>
          <w:rFonts w:ascii="Arial" w:hAnsi="Arial" w:cs="Arial"/>
        </w:rPr>
        <w:t xml:space="preserve">. </w:t>
      </w:r>
    </w:p>
    <w:p w14:paraId="4ADD7077" w14:textId="19C45A3A" w:rsidR="00A67D41" w:rsidRPr="00FA1690" w:rsidRDefault="00A67D41" w:rsidP="00A67D41">
      <w:pPr>
        <w:pStyle w:val="Heading2"/>
      </w:pPr>
      <w:r w:rsidRPr="00FA1690">
        <w:t>DTX duration and DTX ratio comparison between LTE and NR</w:t>
      </w:r>
    </w:p>
    <w:p w14:paraId="6A155538" w14:textId="13A241F4" w:rsidR="004A6166" w:rsidRPr="00FA1690" w:rsidRDefault="004A6166" w:rsidP="00A67D41">
      <w:pPr>
        <w:pStyle w:val="BodyText"/>
        <w:rPr>
          <w:rFonts w:ascii="Arial" w:hAnsi="Arial" w:cs="Arial"/>
        </w:rPr>
      </w:pPr>
      <w:r w:rsidRPr="00FA1690">
        <w:rPr>
          <w:rFonts w:ascii="Arial" w:hAnsi="Arial" w:cs="Arial"/>
        </w:rPr>
        <w:t>The DTX ratio is defined as the amount of time that a base station is not transmitting any RF power. The DTX ratio is the time duration when the base station is not transmitting any RF power. As a simple example, consider two base station with the same DTX ratio of 50%. The first base station is transmitting every even symbol and is in DTX every odd OFDM symbol (i.e. transmitting according to a pattern [1 0 1 0 1 0 1 0 1 0]). The second base station is transmitting for 5 consecutive OFDM symbols and is then in DTX for 5 consecutive OFDM symbols (i.e. transmitting according to the pattern [1 1 1 1 1 0 0 0 0 0]). The latter base station longer DTX duration (5 versus 1), and according to the power models used here we should expect that the second base station consume less energy because of this.</w:t>
      </w:r>
    </w:p>
    <w:p w14:paraId="2E5F6CE5" w14:textId="47D69042" w:rsidR="00A67D41" w:rsidRPr="00FA1690" w:rsidRDefault="00A67D41" w:rsidP="00A67D41">
      <w:pPr>
        <w:pStyle w:val="BodyText"/>
        <w:rPr>
          <w:rFonts w:ascii="Arial" w:hAnsi="Arial" w:cs="Arial"/>
        </w:rPr>
      </w:pPr>
      <w:r w:rsidRPr="00FA1690">
        <w:rPr>
          <w:rFonts w:ascii="Arial" w:hAnsi="Arial" w:cs="Arial"/>
        </w:rPr>
        <w:t>The power consumption benefits of NR compared to LTE are significant. Due to the long periods of dis-continuous transmission (DTX) that NR enables in the base station the base station hardware components can be put into very low power consuming sleep states in between the mandatory transmissions. NR support SS Block transmission as seldom as every 20 ms for stand-alone operation. The corresponding DTX time for LTE is the time in-between consecutive CRSs which is approximately 0.2 ms. The DTX duration of NR is thus approximately 100 times longer than that of LTE.</w:t>
      </w:r>
    </w:p>
    <w:p w14:paraId="1CC631E6" w14:textId="5D8CC77D" w:rsidR="00A67D41" w:rsidRPr="00FA1690" w:rsidRDefault="00A67D41" w:rsidP="00A67D41">
      <w:pPr>
        <w:pStyle w:val="BodyText"/>
        <w:rPr>
          <w:rFonts w:ascii="Arial" w:hAnsi="Arial" w:cs="Arial"/>
        </w:rPr>
      </w:pPr>
      <w:r w:rsidRPr="00FA1690">
        <w:rPr>
          <w:rFonts w:ascii="Arial" w:hAnsi="Arial" w:cs="Arial"/>
        </w:rPr>
        <w:t xml:space="preserve">In addition to DTX duration, NR also supports significantly larger DTX ratio. While an </w:t>
      </w:r>
      <w:r w:rsidR="002F16D0" w:rsidRPr="00FA1690">
        <w:rPr>
          <w:rFonts w:ascii="Arial" w:hAnsi="Arial" w:cs="Arial"/>
        </w:rPr>
        <w:t>LTE</w:t>
      </w:r>
      <w:r w:rsidRPr="00FA1690">
        <w:rPr>
          <w:rFonts w:ascii="Arial" w:hAnsi="Arial" w:cs="Arial"/>
        </w:rPr>
        <w:t xml:space="preserve"> base station need to be activ</w:t>
      </w:r>
      <w:r w:rsidR="00045144" w:rsidRPr="00FA1690">
        <w:rPr>
          <w:rFonts w:ascii="Arial" w:hAnsi="Arial" w:cs="Arial"/>
        </w:rPr>
        <w:t>e and transmit approximately 50</w:t>
      </w:r>
      <w:r w:rsidRPr="00FA1690">
        <w:rPr>
          <w:rFonts w:ascii="Arial" w:hAnsi="Arial" w:cs="Arial"/>
        </w:rPr>
        <w:t xml:space="preserve">% of the time in idle mode (see </w:t>
      </w:r>
      <w:r w:rsidRPr="00FA1690">
        <w:rPr>
          <w:rFonts w:ascii="Arial" w:hAnsi="Arial" w:cs="Arial"/>
        </w:rPr>
        <w:fldChar w:fldCharType="begin"/>
      </w:r>
      <w:r w:rsidRPr="00FA1690">
        <w:rPr>
          <w:rFonts w:ascii="Arial" w:hAnsi="Arial" w:cs="Arial"/>
        </w:rPr>
        <w:instrText xml:space="preserve"> REF _Ref498091648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4</w:t>
      </w:r>
      <w:r w:rsidRPr="00FA1690">
        <w:rPr>
          <w:rFonts w:ascii="Arial" w:hAnsi="Arial" w:cs="Arial"/>
        </w:rPr>
        <w:fldChar w:fldCharType="end"/>
      </w:r>
      <w:r w:rsidRPr="00FA1690">
        <w:rPr>
          <w:rFonts w:ascii="Arial" w:hAnsi="Arial" w:cs="Arial"/>
        </w:rPr>
        <w:t xml:space="preserve">) the corresponding number for NR </w:t>
      </w:r>
      <w:r w:rsidR="00045144" w:rsidRPr="00FA1690">
        <w:rPr>
          <w:rFonts w:ascii="Arial" w:hAnsi="Arial" w:cs="Arial"/>
        </w:rPr>
        <w:t xml:space="preserve">is significantly lower. The exact value </w:t>
      </w:r>
      <w:r w:rsidRPr="00FA1690">
        <w:rPr>
          <w:rFonts w:ascii="Arial" w:hAnsi="Arial" w:cs="Arial"/>
        </w:rPr>
        <w:t>depends on the number of SSBs and the sub-carrier spacing. With 1 SSB every 20 ms and 15 kHz SCS the DTX ratio of NR becomes approximately 1.7%</w:t>
      </w:r>
      <w:r w:rsidR="00045144" w:rsidRPr="00FA1690">
        <w:rPr>
          <w:rFonts w:ascii="Arial" w:hAnsi="Arial" w:cs="Arial"/>
        </w:rPr>
        <w:t>, which is approximately 30 times lower than for LTE.</w:t>
      </w:r>
    </w:p>
    <w:p w14:paraId="1FC0D870" w14:textId="77777777" w:rsidR="00194AA8" w:rsidRPr="00FA1690" w:rsidRDefault="00194AA8" w:rsidP="00194AA8">
      <w:pPr>
        <w:pStyle w:val="Heading2"/>
      </w:pPr>
      <w:r w:rsidRPr="00FA1690">
        <w:t>NR idle mode power consumption</w:t>
      </w:r>
    </w:p>
    <w:p w14:paraId="2B416552" w14:textId="1C14DFF2" w:rsidR="00194AA8" w:rsidRPr="00FA1690" w:rsidRDefault="00564402" w:rsidP="00194AA8">
      <w:pPr>
        <w:rPr>
          <w:rFonts w:ascii="Arial" w:hAnsi="Arial" w:cs="Arial"/>
        </w:rPr>
      </w:pPr>
      <w:r w:rsidRPr="00FA1690">
        <w:rPr>
          <w:rFonts w:ascii="Arial" w:hAnsi="Arial" w:cs="Arial"/>
        </w:rPr>
        <w:t xml:space="preserve">The idle mode power consumption for NR depends on the number of SS Blocks that are used, the sub-carrier spacing, etc. In order to do a reasonably fair comparison, we select the same sub-carrier spacing for NR as we used in the LTE reference case, i.e. 15 kHz. </w:t>
      </w:r>
    </w:p>
    <w:p w14:paraId="67E00C4C" w14:textId="389DAE4B" w:rsidR="00564402" w:rsidRPr="00FA1690" w:rsidRDefault="00564402" w:rsidP="00194AA8">
      <w:pPr>
        <w:rPr>
          <w:rFonts w:ascii="Arial" w:hAnsi="Arial" w:cs="Arial"/>
        </w:rPr>
      </w:pPr>
      <w:r w:rsidRPr="00FA1690">
        <w:rPr>
          <w:rFonts w:ascii="Arial" w:hAnsi="Arial" w:cs="Arial"/>
        </w:rPr>
        <w:t xml:space="preserve">A network energy consumption optimized configuration is to operate NR with a single wide-beam transmitted SS Block. We further assume that the system information transmission can occur in the same symbols as the SSB, i.e. using frequency multiplexing. We assume that the power consumption required to transmit the SSB and the system information corresponds to 25% of the total base station power. </w:t>
      </w:r>
    </w:p>
    <w:p w14:paraId="143858A4" w14:textId="04E69D79" w:rsidR="00564402" w:rsidRPr="00FA1690" w:rsidRDefault="00564402" w:rsidP="00194AA8">
      <w:pPr>
        <w:rPr>
          <w:rFonts w:ascii="Arial" w:hAnsi="Arial" w:cs="Arial"/>
        </w:rPr>
      </w:pPr>
      <w:r w:rsidRPr="00FA1690">
        <w:rPr>
          <w:rFonts w:ascii="Arial" w:hAnsi="Arial" w:cs="Arial"/>
        </w:rPr>
        <w:t xml:space="preserve">In </w:t>
      </w:r>
      <w:r w:rsidRPr="00FA1690">
        <w:rPr>
          <w:rFonts w:ascii="Arial" w:hAnsi="Arial" w:cs="Arial"/>
        </w:rPr>
        <w:fldChar w:fldCharType="begin"/>
      </w:r>
      <w:r w:rsidRPr="00FA1690">
        <w:rPr>
          <w:rFonts w:ascii="Arial" w:hAnsi="Arial" w:cs="Arial"/>
        </w:rPr>
        <w:instrText xml:space="preserve"> REF _Ref498093136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5</w:t>
      </w:r>
      <w:r w:rsidRPr="00FA1690">
        <w:rPr>
          <w:rFonts w:ascii="Arial" w:hAnsi="Arial" w:cs="Arial"/>
        </w:rPr>
        <w:fldChar w:fldCharType="end"/>
      </w:r>
      <w:r w:rsidRPr="00FA1690">
        <w:rPr>
          <w:rFonts w:ascii="Arial" w:hAnsi="Arial" w:cs="Arial"/>
        </w:rPr>
        <w:t xml:space="preserve"> we see the instantaneous power consumption in the base station when applying the “macro 2x2” power model defined above. The SS Block periodicity used in this example is 20 ms. We note that the NR base station can enter both sleep mode 3 (with an activation delay of 10 ms) </w:t>
      </w:r>
      <w:r w:rsidR="00801543" w:rsidRPr="00FA1690">
        <w:rPr>
          <w:rFonts w:ascii="Arial" w:hAnsi="Arial" w:cs="Arial"/>
        </w:rPr>
        <w:t xml:space="preserve">and sleep mode 2 (with a 1 ms activation delay). The peak power consumption is higher for NR than for LTE (approximately 785 W in </w:t>
      </w:r>
      <w:r w:rsidR="00801543" w:rsidRPr="00FA1690">
        <w:rPr>
          <w:rFonts w:ascii="Arial" w:hAnsi="Arial" w:cs="Arial"/>
        </w:rPr>
        <w:fldChar w:fldCharType="begin"/>
      </w:r>
      <w:r w:rsidR="00801543" w:rsidRPr="00FA1690">
        <w:rPr>
          <w:rFonts w:ascii="Arial" w:hAnsi="Arial" w:cs="Arial"/>
        </w:rPr>
        <w:instrText xml:space="preserve"> REF _Ref498093136 \h </w:instrText>
      </w:r>
      <w:r w:rsidR="00FA1690">
        <w:rPr>
          <w:rFonts w:ascii="Arial" w:hAnsi="Arial" w:cs="Arial"/>
        </w:rPr>
        <w:instrText xml:space="preserve"> \* MERGEFORMAT </w:instrText>
      </w:r>
      <w:r w:rsidR="00801543" w:rsidRPr="00FA1690">
        <w:rPr>
          <w:rFonts w:ascii="Arial" w:hAnsi="Arial" w:cs="Arial"/>
        </w:rPr>
      </w:r>
      <w:r w:rsidR="00801543" w:rsidRPr="00FA1690">
        <w:rPr>
          <w:rFonts w:ascii="Arial" w:hAnsi="Arial" w:cs="Arial"/>
        </w:rPr>
        <w:fldChar w:fldCharType="separate"/>
      </w:r>
      <w:r w:rsidR="00801543" w:rsidRPr="00FA1690">
        <w:rPr>
          <w:rFonts w:ascii="Arial" w:hAnsi="Arial" w:cs="Arial"/>
        </w:rPr>
        <w:t xml:space="preserve">Figure </w:t>
      </w:r>
      <w:r w:rsidR="00801543" w:rsidRPr="00FA1690">
        <w:rPr>
          <w:rFonts w:ascii="Arial" w:hAnsi="Arial" w:cs="Arial"/>
          <w:noProof/>
        </w:rPr>
        <w:t>5</w:t>
      </w:r>
      <w:r w:rsidR="00801543" w:rsidRPr="00FA1690">
        <w:rPr>
          <w:rFonts w:ascii="Arial" w:hAnsi="Arial" w:cs="Arial"/>
        </w:rPr>
        <w:fldChar w:fldCharType="end"/>
      </w:r>
      <w:r w:rsidR="00801543" w:rsidRPr="00FA1690">
        <w:rPr>
          <w:rFonts w:ascii="Arial" w:hAnsi="Arial" w:cs="Arial"/>
        </w:rPr>
        <w:t xml:space="preserve">) but the average power is significantly lower (approximately 45 W) due to the long sleep modes that are accessible for NR. </w:t>
      </w:r>
    </w:p>
    <w:p w14:paraId="2774CCA2" w14:textId="4653A0B9" w:rsidR="00550706" w:rsidRPr="00FA1690" w:rsidRDefault="00DF2812" w:rsidP="00550706">
      <w:pPr>
        <w:rPr>
          <w:rFonts w:ascii="Arial" w:hAnsi="Arial" w:cs="Arial"/>
          <w:color w:val="000000" w:themeColor="text1"/>
        </w:rPr>
      </w:pPr>
      <w:r w:rsidRPr="00FA1690">
        <w:rPr>
          <w:rFonts w:ascii="Arial" w:hAnsi="Arial" w:cs="Arial"/>
          <w:color w:val="000000" w:themeColor="text1"/>
        </w:rPr>
        <w:t>Comparing the peak power for LTE (</w:t>
      </w:r>
      <w:r w:rsidRPr="00FA1690">
        <w:rPr>
          <w:rFonts w:ascii="Arial" w:hAnsi="Arial" w:cs="Arial"/>
          <w:color w:val="000000" w:themeColor="text1"/>
        </w:rPr>
        <w:fldChar w:fldCharType="begin"/>
      </w:r>
      <w:r w:rsidRPr="00FA1690">
        <w:rPr>
          <w:rFonts w:ascii="Arial" w:hAnsi="Arial" w:cs="Arial"/>
          <w:color w:val="000000" w:themeColor="text1"/>
        </w:rPr>
        <w:instrText xml:space="preserve"> REF _Ref498091830 \h </w:instrText>
      </w:r>
      <w:r w:rsidR="00FA1690">
        <w:rPr>
          <w:rFonts w:ascii="Arial" w:hAnsi="Arial" w:cs="Arial"/>
          <w:color w:val="000000" w:themeColor="text1"/>
        </w:rPr>
        <w:instrText xml:space="preserve"> \* MERGEFORMAT </w:instrText>
      </w:r>
      <w:r w:rsidRPr="00FA1690">
        <w:rPr>
          <w:rFonts w:ascii="Arial" w:hAnsi="Arial" w:cs="Arial"/>
          <w:color w:val="000000" w:themeColor="text1"/>
        </w:rPr>
      </w:r>
      <w:r w:rsidRPr="00FA1690">
        <w:rPr>
          <w:rFonts w:ascii="Arial" w:hAnsi="Arial" w:cs="Arial"/>
          <w:color w:val="000000" w:themeColor="text1"/>
        </w:rPr>
        <w:fldChar w:fldCharType="separate"/>
      </w:r>
      <w:r w:rsidRPr="00FA1690">
        <w:rPr>
          <w:rFonts w:ascii="Arial" w:hAnsi="Arial" w:cs="Arial"/>
          <w:color w:val="000000" w:themeColor="text1"/>
        </w:rPr>
        <w:t xml:space="preserve">Figure </w:t>
      </w:r>
      <w:r w:rsidRPr="00FA1690">
        <w:rPr>
          <w:rFonts w:ascii="Arial" w:hAnsi="Arial" w:cs="Arial"/>
          <w:noProof/>
          <w:color w:val="000000" w:themeColor="text1"/>
        </w:rPr>
        <w:t>5</w:t>
      </w:r>
      <w:r w:rsidRPr="00FA1690">
        <w:rPr>
          <w:rFonts w:ascii="Arial" w:hAnsi="Arial" w:cs="Arial"/>
          <w:color w:val="000000" w:themeColor="text1"/>
        </w:rPr>
        <w:fldChar w:fldCharType="end"/>
      </w:r>
      <w:r w:rsidRPr="00FA1690">
        <w:rPr>
          <w:rFonts w:ascii="Arial" w:hAnsi="Arial" w:cs="Arial"/>
          <w:color w:val="000000" w:themeColor="text1"/>
        </w:rPr>
        <w:t>)</w:t>
      </w:r>
      <w:r w:rsidR="00550706" w:rsidRPr="00FA1690">
        <w:rPr>
          <w:rFonts w:ascii="Arial" w:hAnsi="Arial" w:cs="Arial"/>
          <w:color w:val="000000" w:themeColor="text1"/>
        </w:rPr>
        <w:t xml:space="preserve"> and NR (</w:t>
      </w:r>
      <w:r w:rsidR="00550706" w:rsidRPr="00FA1690">
        <w:rPr>
          <w:rFonts w:ascii="Arial" w:hAnsi="Arial" w:cs="Arial"/>
          <w:color w:val="000000" w:themeColor="text1"/>
        </w:rPr>
        <w:fldChar w:fldCharType="begin"/>
      </w:r>
      <w:r w:rsidR="00550706" w:rsidRPr="00FA1690">
        <w:rPr>
          <w:rFonts w:ascii="Arial" w:hAnsi="Arial" w:cs="Arial"/>
          <w:color w:val="000000" w:themeColor="text1"/>
        </w:rPr>
        <w:instrText xml:space="preserve"> REF _Ref498093136 \h </w:instrText>
      </w:r>
      <w:r w:rsidR="00FA1690">
        <w:rPr>
          <w:rFonts w:ascii="Arial" w:hAnsi="Arial" w:cs="Arial"/>
          <w:color w:val="000000" w:themeColor="text1"/>
        </w:rPr>
        <w:instrText xml:space="preserve"> \* MERGEFORMAT </w:instrText>
      </w:r>
      <w:r w:rsidR="00550706" w:rsidRPr="00FA1690">
        <w:rPr>
          <w:rFonts w:ascii="Arial" w:hAnsi="Arial" w:cs="Arial"/>
          <w:color w:val="000000" w:themeColor="text1"/>
        </w:rPr>
      </w:r>
      <w:r w:rsidR="00550706" w:rsidRPr="00FA1690">
        <w:rPr>
          <w:rFonts w:ascii="Arial" w:hAnsi="Arial" w:cs="Arial"/>
          <w:color w:val="000000" w:themeColor="text1"/>
        </w:rPr>
        <w:fldChar w:fldCharType="separate"/>
      </w:r>
      <w:r w:rsidR="00550706" w:rsidRPr="00FA1690">
        <w:rPr>
          <w:rFonts w:ascii="Arial" w:hAnsi="Arial" w:cs="Arial"/>
          <w:color w:val="000000" w:themeColor="text1"/>
        </w:rPr>
        <w:t xml:space="preserve">Figure </w:t>
      </w:r>
      <w:r w:rsidR="00550706" w:rsidRPr="00FA1690">
        <w:rPr>
          <w:rFonts w:ascii="Arial" w:hAnsi="Arial" w:cs="Arial"/>
          <w:noProof/>
          <w:color w:val="000000" w:themeColor="text1"/>
        </w:rPr>
        <w:t>6</w:t>
      </w:r>
      <w:r w:rsidR="00550706" w:rsidRPr="00FA1690">
        <w:rPr>
          <w:rFonts w:ascii="Arial" w:hAnsi="Arial" w:cs="Arial"/>
          <w:color w:val="000000" w:themeColor="text1"/>
        </w:rPr>
        <w:fldChar w:fldCharType="end"/>
      </w:r>
      <w:r w:rsidR="00550706" w:rsidRPr="00FA1690">
        <w:rPr>
          <w:rFonts w:ascii="Arial" w:hAnsi="Arial" w:cs="Arial"/>
          <w:color w:val="000000" w:themeColor="text1"/>
        </w:rPr>
        <w:t>) we note that the pea</w:t>
      </w:r>
      <w:r w:rsidR="00E518F3" w:rsidRPr="00FA1690">
        <w:rPr>
          <w:rFonts w:ascii="Arial" w:hAnsi="Arial" w:cs="Arial"/>
          <w:color w:val="000000" w:themeColor="text1"/>
        </w:rPr>
        <w:t>k</w:t>
      </w:r>
      <w:r w:rsidR="00550706" w:rsidRPr="00FA1690">
        <w:rPr>
          <w:rFonts w:ascii="Arial" w:hAnsi="Arial" w:cs="Arial"/>
          <w:color w:val="000000" w:themeColor="text1"/>
        </w:rPr>
        <w:t xml:space="preserve"> power consumption for NR is higher. This is because that for NR </w:t>
      </w:r>
      <w:r w:rsidR="00E518F3" w:rsidRPr="00FA1690">
        <w:rPr>
          <w:rFonts w:ascii="Arial" w:hAnsi="Arial" w:cs="Arial"/>
          <w:color w:val="000000" w:themeColor="text1"/>
        </w:rPr>
        <w:t xml:space="preserve">we assume that </w:t>
      </w:r>
      <w:r w:rsidR="00550706" w:rsidRPr="00FA1690">
        <w:rPr>
          <w:rFonts w:ascii="Arial" w:hAnsi="Arial" w:cs="Arial"/>
          <w:color w:val="000000" w:themeColor="text1"/>
        </w:rPr>
        <w:t xml:space="preserve">the system information is transmitted at the same time as the SS Block </w:t>
      </w:r>
      <w:r w:rsidR="00E518F3" w:rsidRPr="00FA1690">
        <w:rPr>
          <w:rFonts w:ascii="Arial" w:hAnsi="Arial" w:cs="Arial"/>
          <w:color w:val="000000" w:themeColor="text1"/>
        </w:rPr>
        <w:t xml:space="preserve">(frequency multiplexed) </w:t>
      </w:r>
      <w:r w:rsidR="00550706" w:rsidRPr="00FA1690">
        <w:rPr>
          <w:rFonts w:ascii="Arial" w:hAnsi="Arial" w:cs="Arial"/>
          <w:color w:val="000000" w:themeColor="text1"/>
        </w:rPr>
        <w:t>while for LTE the system information is not transmitted at the same time as the</w:t>
      </w:r>
      <w:r w:rsidR="00E518F3" w:rsidRPr="00FA1690">
        <w:rPr>
          <w:rFonts w:ascii="Arial" w:hAnsi="Arial" w:cs="Arial"/>
          <w:color w:val="000000" w:themeColor="text1"/>
        </w:rPr>
        <w:t xml:space="preserve"> corresponding LTE signals (i.e. system information transmission in LTE is time-multiplexed with PSS/SSS/PBCH). For this reason, the transmission power when actually transmitting, is slightly higher for NR compared to LTE</w:t>
      </w:r>
      <w:r w:rsidR="00F63029" w:rsidRPr="00FA1690">
        <w:rPr>
          <w:rFonts w:ascii="Arial" w:hAnsi="Arial" w:cs="Arial"/>
          <w:color w:val="000000" w:themeColor="text1"/>
        </w:rPr>
        <w:t xml:space="preserve"> in this assessment</w:t>
      </w:r>
      <w:r w:rsidR="00E518F3" w:rsidRPr="00FA1690">
        <w:rPr>
          <w:rFonts w:ascii="Arial" w:hAnsi="Arial" w:cs="Arial"/>
          <w:color w:val="000000" w:themeColor="text1"/>
        </w:rPr>
        <w:t xml:space="preserve">. </w:t>
      </w:r>
    </w:p>
    <w:p w14:paraId="7B413EC3" w14:textId="6C1402BD" w:rsidR="00DF2812" w:rsidRPr="00FA1690" w:rsidRDefault="00DF2812" w:rsidP="00194AA8">
      <w:pPr>
        <w:rPr>
          <w:rFonts w:ascii="Arial" w:hAnsi="Arial" w:cs="Arial"/>
        </w:rPr>
      </w:pPr>
    </w:p>
    <w:p w14:paraId="0A942DC8" w14:textId="77777777" w:rsidR="007A52A4" w:rsidRPr="00FA1690" w:rsidRDefault="007A52A4" w:rsidP="007A52A4">
      <w:pPr>
        <w:keepNext/>
        <w:rPr>
          <w:rFonts w:ascii="Arial" w:hAnsi="Arial" w:cs="Arial"/>
        </w:rPr>
      </w:pPr>
      <w:r w:rsidRPr="00FA1690">
        <w:rPr>
          <w:rFonts w:ascii="Arial" w:hAnsi="Arial" w:cs="Arial"/>
          <w:noProof/>
        </w:rPr>
        <w:drawing>
          <wp:inline distT="0" distB="0" distL="0" distR="0" wp14:anchorId="6430DEEE" wp14:editId="4B79F55C">
            <wp:extent cx="6271054"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9104" cy="2493181"/>
                    </a:xfrm>
                    <a:prstGeom prst="rect">
                      <a:avLst/>
                    </a:prstGeom>
                  </pic:spPr>
                </pic:pic>
              </a:graphicData>
            </a:graphic>
          </wp:inline>
        </w:drawing>
      </w:r>
    </w:p>
    <w:p w14:paraId="42C8F38A" w14:textId="25C7553A" w:rsidR="007A52A4" w:rsidRPr="00FA1690" w:rsidRDefault="007A52A4" w:rsidP="007A52A4">
      <w:pPr>
        <w:pStyle w:val="Caption"/>
        <w:jc w:val="both"/>
        <w:rPr>
          <w:rFonts w:ascii="Arial" w:hAnsi="Arial" w:cs="Arial"/>
        </w:rPr>
      </w:pPr>
      <w:bookmarkStart w:id="10" w:name="_Ref498093136"/>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6</w:t>
      </w:r>
      <w:r w:rsidR="00BA5427" w:rsidRPr="00FA1690">
        <w:rPr>
          <w:rFonts w:ascii="Arial" w:hAnsi="Arial" w:cs="Arial"/>
          <w:noProof/>
        </w:rPr>
        <w:fldChar w:fldCharType="end"/>
      </w:r>
      <w:bookmarkEnd w:id="10"/>
      <w:r w:rsidRPr="00FA1690">
        <w:rPr>
          <w:rFonts w:ascii="Arial" w:hAnsi="Arial" w:cs="Arial"/>
        </w:rPr>
        <w:t xml:space="preserve">: </w:t>
      </w:r>
      <w:r w:rsidR="00801543" w:rsidRPr="00FA1690">
        <w:rPr>
          <w:rFonts w:ascii="Arial" w:hAnsi="Arial" w:cs="Arial"/>
        </w:rPr>
        <w:t xml:space="preserve">Instantaneous power consumption for NR with a 1 SSB configuration, 20 ms SSB periodicity using the power model “macro 2x2”. </w:t>
      </w:r>
    </w:p>
    <w:p w14:paraId="50107B34" w14:textId="1149A2B7" w:rsidR="00801543" w:rsidRPr="00FA1690" w:rsidRDefault="00801543" w:rsidP="00801543">
      <w:pPr>
        <w:rPr>
          <w:rFonts w:ascii="Arial" w:hAnsi="Arial" w:cs="Arial"/>
        </w:rPr>
      </w:pPr>
      <w:r w:rsidRPr="00FA1690">
        <w:rPr>
          <w:rFonts w:ascii="Arial" w:hAnsi="Arial" w:cs="Arial"/>
        </w:rPr>
        <w:t xml:space="preserve">In </w:t>
      </w:r>
      <w:r w:rsidRPr="00FA1690">
        <w:rPr>
          <w:rFonts w:ascii="Arial" w:hAnsi="Arial" w:cs="Arial"/>
        </w:rPr>
        <w:fldChar w:fldCharType="begin"/>
      </w:r>
      <w:r w:rsidRPr="00FA1690">
        <w:rPr>
          <w:rFonts w:ascii="Arial" w:hAnsi="Arial" w:cs="Arial"/>
        </w:rPr>
        <w:instrText xml:space="preserve"> REF _Ref498093570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6</w:t>
      </w:r>
      <w:r w:rsidRPr="00FA1690">
        <w:rPr>
          <w:rFonts w:ascii="Arial" w:hAnsi="Arial" w:cs="Arial"/>
        </w:rPr>
        <w:fldChar w:fldCharType="end"/>
      </w:r>
      <w:r w:rsidRPr="00FA1690">
        <w:rPr>
          <w:rFonts w:ascii="Arial" w:hAnsi="Arial" w:cs="Arial"/>
        </w:rPr>
        <w:t xml:space="preserve"> we depict the average power consumption for NR for all different power models and for the relevant SSB periodicities supported in the NR standard (5, 10, 20 40, 80, and 160 ms). As a reference we note that the LTE power consumption for the corresponding power models are {401, 461, 2.2692, 0.92, 28.7} W for the power models {macro 2x2, macro 4x4, pico, femto, LSAS} respectively.</w:t>
      </w:r>
    </w:p>
    <w:p w14:paraId="097E78F5" w14:textId="77777777" w:rsidR="00847AA3" w:rsidRPr="00FA1690" w:rsidRDefault="00847AA3" w:rsidP="00847AA3">
      <w:pPr>
        <w:keepNext/>
        <w:jc w:val="center"/>
        <w:rPr>
          <w:rFonts w:ascii="Arial" w:hAnsi="Arial" w:cs="Arial"/>
        </w:rPr>
      </w:pPr>
      <w:r w:rsidRPr="00FA1690">
        <w:rPr>
          <w:rFonts w:ascii="Arial" w:hAnsi="Arial" w:cs="Arial"/>
          <w:noProof/>
        </w:rPr>
        <w:drawing>
          <wp:inline distT="0" distB="0" distL="0" distR="0" wp14:anchorId="0BE4C0B5" wp14:editId="0115F74D">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570A1B67" w14:textId="50F40139" w:rsidR="00847AA3" w:rsidRPr="00FA1690" w:rsidRDefault="00847AA3" w:rsidP="00801543">
      <w:pPr>
        <w:pStyle w:val="Caption"/>
        <w:jc w:val="left"/>
        <w:rPr>
          <w:rFonts w:ascii="Arial" w:hAnsi="Arial" w:cs="Arial"/>
        </w:rPr>
      </w:pPr>
      <w:bookmarkStart w:id="11" w:name="_Ref498093570"/>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7</w:t>
      </w:r>
      <w:r w:rsidR="00BA5427" w:rsidRPr="00FA1690">
        <w:rPr>
          <w:rFonts w:ascii="Arial" w:hAnsi="Arial" w:cs="Arial"/>
          <w:noProof/>
        </w:rPr>
        <w:fldChar w:fldCharType="end"/>
      </w:r>
      <w:bookmarkEnd w:id="11"/>
      <w:r w:rsidRPr="00FA1690">
        <w:rPr>
          <w:rFonts w:ascii="Arial" w:hAnsi="Arial" w:cs="Arial"/>
        </w:rPr>
        <w:t xml:space="preserve">: </w:t>
      </w:r>
      <w:r w:rsidR="00801543" w:rsidRPr="00FA1690">
        <w:rPr>
          <w:rFonts w:ascii="Arial" w:hAnsi="Arial" w:cs="Arial"/>
        </w:rPr>
        <w:t xml:space="preserve">Average idle power consumption for NR when applying the power models in </w:t>
      </w:r>
      <w:r w:rsidR="00801543" w:rsidRPr="00FA1690">
        <w:rPr>
          <w:rFonts w:ascii="Arial" w:hAnsi="Arial" w:cs="Arial"/>
        </w:rPr>
        <w:fldChar w:fldCharType="begin"/>
      </w:r>
      <w:r w:rsidR="00801543" w:rsidRPr="00FA1690">
        <w:rPr>
          <w:rFonts w:ascii="Arial" w:hAnsi="Arial" w:cs="Arial"/>
        </w:rPr>
        <w:instrText xml:space="preserve"> REF _Ref498084219 \h </w:instrText>
      </w:r>
      <w:r w:rsidR="00FA1690">
        <w:rPr>
          <w:rFonts w:ascii="Arial" w:hAnsi="Arial" w:cs="Arial"/>
        </w:rPr>
        <w:instrText xml:space="preserve"> \* MERGEFORMAT </w:instrText>
      </w:r>
      <w:r w:rsidR="00801543" w:rsidRPr="00FA1690">
        <w:rPr>
          <w:rFonts w:ascii="Arial" w:hAnsi="Arial" w:cs="Arial"/>
        </w:rPr>
      </w:r>
      <w:r w:rsidR="00801543" w:rsidRPr="00FA1690">
        <w:rPr>
          <w:rFonts w:ascii="Arial" w:hAnsi="Arial" w:cs="Arial"/>
        </w:rPr>
        <w:fldChar w:fldCharType="separate"/>
      </w:r>
      <w:r w:rsidR="00801543" w:rsidRPr="00FA1690">
        <w:rPr>
          <w:rFonts w:ascii="Arial" w:hAnsi="Arial" w:cs="Arial"/>
        </w:rPr>
        <w:t xml:space="preserve">Figure </w:t>
      </w:r>
      <w:r w:rsidR="00801543" w:rsidRPr="00FA1690">
        <w:rPr>
          <w:rFonts w:ascii="Arial" w:hAnsi="Arial" w:cs="Arial"/>
          <w:noProof/>
        </w:rPr>
        <w:t>1</w:t>
      </w:r>
      <w:r w:rsidR="00801543" w:rsidRPr="00FA1690">
        <w:rPr>
          <w:rFonts w:ascii="Arial" w:hAnsi="Arial" w:cs="Arial"/>
        </w:rPr>
        <w:fldChar w:fldCharType="end"/>
      </w:r>
      <w:r w:rsidR="00801543" w:rsidRPr="00FA1690">
        <w:rPr>
          <w:rFonts w:ascii="Arial" w:hAnsi="Arial" w:cs="Arial"/>
        </w:rPr>
        <w:t xml:space="preserve"> as function of the SS Block periodicity.</w:t>
      </w:r>
    </w:p>
    <w:p w14:paraId="52AF7B80" w14:textId="3BDFD122" w:rsidR="00801543" w:rsidRPr="00FA1690" w:rsidRDefault="00801543" w:rsidP="00801543">
      <w:pPr>
        <w:rPr>
          <w:rFonts w:ascii="Arial" w:hAnsi="Arial" w:cs="Arial"/>
        </w:rPr>
      </w:pPr>
      <w:r w:rsidRPr="00FA1690">
        <w:rPr>
          <w:rFonts w:ascii="Arial" w:hAnsi="Arial" w:cs="Arial"/>
        </w:rPr>
        <w:t xml:space="preserve">In </w:t>
      </w:r>
      <w:r w:rsidRPr="00FA1690">
        <w:rPr>
          <w:rFonts w:ascii="Arial" w:hAnsi="Arial" w:cs="Arial"/>
        </w:rPr>
        <w:fldChar w:fldCharType="begin"/>
      </w:r>
      <w:r w:rsidRPr="00FA1690">
        <w:rPr>
          <w:rFonts w:ascii="Arial" w:hAnsi="Arial" w:cs="Arial"/>
        </w:rPr>
        <w:instrText xml:space="preserve"> REF _Ref498093871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 xml:space="preserve">Figure </w:t>
      </w:r>
      <w:r w:rsidRPr="00FA1690">
        <w:rPr>
          <w:rFonts w:ascii="Arial" w:hAnsi="Arial" w:cs="Arial"/>
          <w:noProof/>
        </w:rPr>
        <w:t>7</w:t>
      </w:r>
      <w:r w:rsidRPr="00FA1690">
        <w:rPr>
          <w:rFonts w:ascii="Arial" w:hAnsi="Arial" w:cs="Arial"/>
        </w:rPr>
        <w:fldChar w:fldCharType="end"/>
      </w:r>
      <w:r w:rsidRPr="00FA1690">
        <w:rPr>
          <w:rFonts w:ascii="Arial" w:hAnsi="Arial" w:cs="Arial"/>
        </w:rPr>
        <w:t xml:space="preserve"> we show the power consumption gain with NR compared to LTE expressed as P</w:t>
      </w:r>
      <w:r w:rsidR="008D4CD8" w:rsidRPr="00FA1690">
        <w:rPr>
          <w:rFonts w:ascii="Arial" w:hAnsi="Arial" w:cs="Arial"/>
          <w:vertAlign w:val="subscript"/>
        </w:rPr>
        <w:t xml:space="preserve">average,LTE </w:t>
      </w:r>
      <w:r w:rsidR="008D4CD8" w:rsidRPr="00FA1690">
        <w:rPr>
          <w:rFonts w:ascii="Arial" w:hAnsi="Arial" w:cs="Arial"/>
        </w:rPr>
        <w:t>/ P</w:t>
      </w:r>
      <w:r w:rsidR="008D4CD8" w:rsidRPr="00FA1690">
        <w:rPr>
          <w:rFonts w:ascii="Arial" w:hAnsi="Arial" w:cs="Arial"/>
          <w:vertAlign w:val="subscript"/>
        </w:rPr>
        <w:t xml:space="preserve">average,NR. </w:t>
      </w:r>
      <w:r w:rsidR="008D4CD8" w:rsidRPr="00FA1690">
        <w:rPr>
          <w:rFonts w:ascii="Arial" w:hAnsi="Arial" w:cs="Arial"/>
        </w:rPr>
        <w:t>We note that for 20 ms SSB periodicity and using the macro 2x2 power model NR is capable of operating with 9 times lower average power consumption compared to LTE. The LSAS power model results is a factor of 6 times lower power consumption for NR compared to LTE for an SSB periodicity of 20 ms and more than 10 times lower for an SSB periodicity of 160 ms..</w:t>
      </w:r>
    </w:p>
    <w:p w14:paraId="5566155C" w14:textId="77777777" w:rsidR="00847AA3" w:rsidRPr="00FA1690" w:rsidRDefault="00847AA3" w:rsidP="00847AA3">
      <w:pPr>
        <w:keepNext/>
        <w:jc w:val="center"/>
        <w:rPr>
          <w:rFonts w:ascii="Arial" w:hAnsi="Arial" w:cs="Arial"/>
        </w:rPr>
      </w:pPr>
      <w:r w:rsidRPr="00FA1690">
        <w:rPr>
          <w:rFonts w:ascii="Arial" w:hAnsi="Arial" w:cs="Arial"/>
          <w:noProof/>
        </w:rPr>
        <w:drawing>
          <wp:inline distT="0" distB="0" distL="0" distR="0" wp14:anchorId="5F4F9778" wp14:editId="59220E36">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4B339993" w14:textId="16E001E8" w:rsidR="007A52A4" w:rsidRPr="00FA1690" w:rsidRDefault="00847AA3" w:rsidP="00C5341B">
      <w:pPr>
        <w:pStyle w:val="Caption"/>
        <w:jc w:val="left"/>
        <w:rPr>
          <w:rFonts w:ascii="Arial" w:hAnsi="Arial" w:cs="Arial"/>
        </w:rPr>
      </w:pPr>
      <w:bookmarkStart w:id="12" w:name="_Ref498093871"/>
      <w:r w:rsidRPr="00FA1690">
        <w:rPr>
          <w:rFonts w:ascii="Arial" w:hAnsi="Arial" w:cs="Arial"/>
        </w:rPr>
        <w:t xml:space="preserve">Figure </w:t>
      </w:r>
      <w:r w:rsidR="00BA5427" w:rsidRPr="00FA1690">
        <w:rPr>
          <w:rFonts w:ascii="Arial" w:hAnsi="Arial" w:cs="Arial"/>
        </w:rPr>
        <w:fldChar w:fldCharType="begin"/>
      </w:r>
      <w:r w:rsidR="00BA5427" w:rsidRPr="00FA1690">
        <w:rPr>
          <w:rFonts w:ascii="Arial" w:hAnsi="Arial" w:cs="Arial"/>
        </w:rPr>
        <w:instrText xml:space="preserve"> SEQ Figure \* ARABIC </w:instrText>
      </w:r>
      <w:r w:rsidR="00BA5427" w:rsidRPr="00FA1690">
        <w:rPr>
          <w:rFonts w:ascii="Arial" w:hAnsi="Arial" w:cs="Arial"/>
        </w:rPr>
        <w:fldChar w:fldCharType="separate"/>
      </w:r>
      <w:r w:rsidR="00FD6187" w:rsidRPr="00FA1690">
        <w:rPr>
          <w:rFonts w:ascii="Arial" w:hAnsi="Arial" w:cs="Arial"/>
          <w:noProof/>
        </w:rPr>
        <w:t>8</w:t>
      </w:r>
      <w:r w:rsidR="00BA5427" w:rsidRPr="00FA1690">
        <w:rPr>
          <w:rFonts w:ascii="Arial" w:hAnsi="Arial" w:cs="Arial"/>
          <w:noProof/>
        </w:rPr>
        <w:fldChar w:fldCharType="end"/>
      </w:r>
      <w:bookmarkEnd w:id="12"/>
      <w:r w:rsidRPr="00FA1690">
        <w:rPr>
          <w:rFonts w:ascii="Arial" w:hAnsi="Arial" w:cs="Arial"/>
        </w:rPr>
        <w:t xml:space="preserve">: </w:t>
      </w:r>
      <w:r w:rsidR="008D4CD8" w:rsidRPr="00FA1690">
        <w:rPr>
          <w:rFonts w:ascii="Arial" w:hAnsi="Arial" w:cs="Arial"/>
        </w:rPr>
        <w:t>Power consumption gain with NR versus LTE for different power consumption models and SS Block periodicities.</w:t>
      </w:r>
    </w:p>
    <w:p w14:paraId="2AB5D61B" w14:textId="10F2FA5F" w:rsidR="001E0A42" w:rsidRPr="00FA1690" w:rsidRDefault="001E0A42" w:rsidP="001E0A42">
      <w:pPr>
        <w:rPr>
          <w:rFonts w:ascii="Arial" w:hAnsi="Arial" w:cs="Arial"/>
        </w:rPr>
      </w:pPr>
      <w:r w:rsidRPr="00FA1690">
        <w:rPr>
          <w:rFonts w:ascii="Arial" w:hAnsi="Arial" w:cs="Arial"/>
        </w:rPr>
        <w:t>In addition to extended sleep in time and sleep ratio there are additional benefits with NR that are not addressed here. In LTE the CRS transmissions cover the whole system bandwidth and they are always transmitted from all antenna ports (up to 4 ports) that the base station is equipped with. The SS Block and system information transmissions in NR are only defined for one antenna port covering a limited part of the overall system bandwidth, which makes it possibly to adapt both the bandwidth as well as the number of active antenna ports in NR in a more flexible and energy efficient way. These potential additional benefits are not considered in this assessment.</w:t>
      </w:r>
    </w:p>
    <w:p w14:paraId="4811D3A3" w14:textId="23DB5AFE" w:rsidR="00C01F33" w:rsidRPr="00FA1690" w:rsidRDefault="00C01F33" w:rsidP="00CE0424">
      <w:pPr>
        <w:pStyle w:val="Heading1"/>
        <w:rPr>
          <w:lang w:val="en-US"/>
        </w:rPr>
      </w:pPr>
      <w:bookmarkStart w:id="13" w:name="_Ref473719292"/>
      <w:r w:rsidRPr="00FA1690">
        <w:rPr>
          <w:lang w:val="en-US"/>
        </w:rPr>
        <w:t>Conclusion</w:t>
      </w:r>
      <w:bookmarkEnd w:id="13"/>
    </w:p>
    <w:p w14:paraId="313E7BD2" w14:textId="1466CEA2" w:rsidR="00B0270B" w:rsidRPr="00FA1690" w:rsidRDefault="00B0270B" w:rsidP="00B0270B">
      <w:pPr>
        <w:rPr>
          <w:rFonts w:ascii="Arial" w:hAnsi="Arial" w:cs="Arial"/>
        </w:rPr>
      </w:pPr>
      <w:r w:rsidRPr="00FA1690">
        <w:rPr>
          <w:rFonts w:ascii="Arial" w:hAnsi="Arial" w:cs="Arial"/>
        </w:rPr>
        <w:t xml:space="preserve">LTE networks are dominated by idle mode power consumption. NR supports significantly longer network DTX durations and have a significantly larger DTX duration. Using the power models defined in </w:t>
      </w:r>
      <w:r w:rsidRPr="00FA1690">
        <w:rPr>
          <w:rFonts w:ascii="Arial" w:hAnsi="Arial" w:cs="Arial"/>
        </w:rPr>
        <w:fldChar w:fldCharType="begin"/>
      </w:r>
      <w:r w:rsidRPr="00FA1690">
        <w:rPr>
          <w:rFonts w:ascii="Arial" w:hAnsi="Arial" w:cs="Arial"/>
        </w:rPr>
        <w:instrText xml:space="preserve"> REF _Ref473889392 \r \h </w:instrText>
      </w:r>
      <w:r w:rsidR="00FA1690">
        <w:rPr>
          <w:rFonts w:ascii="Arial" w:hAnsi="Arial" w:cs="Arial"/>
        </w:rPr>
        <w:instrText xml:space="preserve"> \* MERGEFORMAT </w:instrText>
      </w:r>
      <w:r w:rsidRPr="00FA1690">
        <w:rPr>
          <w:rFonts w:ascii="Arial" w:hAnsi="Arial" w:cs="Arial"/>
        </w:rPr>
      </w:r>
      <w:r w:rsidRPr="00FA1690">
        <w:rPr>
          <w:rFonts w:ascii="Arial" w:hAnsi="Arial" w:cs="Arial"/>
        </w:rPr>
        <w:fldChar w:fldCharType="separate"/>
      </w:r>
      <w:r w:rsidRPr="00FA1690">
        <w:rPr>
          <w:rFonts w:ascii="Arial" w:hAnsi="Arial" w:cs="Arial"/>
        </w:rPr>
        <w:t>[5]</w:t>
      </w:r>
      <w:r w:rsidRPr="00FA1690">
        <w:rPr>
          <w:rFonts w:ascii="Arial" w:hAnsi="Arial" w:cs="Arial"/>
        </w:rPr>
        <w:fldChar w:fldCharType="end"/>
      </w:r>
      <w:r w:rsidRPr="00FA1690">
        <w:rPr>
          <w:rFonts w:ascii="Arial" w:hAnsi="Arial" w:cs="Arial"/>
        </w:rPr>
        <w:t xml:space="preserve"> we conclude that this result in significantly lower idle mode power consumption as well. As an example, a stand-alone LSAS (large scale antenna system) base station can have a 6 times lower power consumption if we use NR compared to LTE (assuming 20 ms SSB periodicity) and more than 10 times lower power consumption is achievable for larger SSB periodicities.</w:t>
      </w:r>
    </w:p>
    <w:p w14:paraId="1701F38C" w14:textId="13F7C77E" w:rsidR="00B0270B" w:rsidRPr="00FA1690" w:rsidRDefault="00B0270B" w:rsidP="00B0270B">
      <w:pPr>
        <w:rPr>
          <w:rFonts w:ascii="Arial" w:hAnsi="Arial" w:cs="Arial"/>
        </w:rPr>
      </w:pPr>
      <w:r w:rsidRPr="00FA1690">
        <w:rPr>
          <w:rFonts w:ascii="Arial" w:hAnsi="Arial" w:cs="Arial"/>
        </w:rPr>
        <w:t>For traditional 2TX macro base stations the energy saving gains with NR compared to LTE are even larger. The energy consumption can be reduced with a factor of 9 in a stand-alone case (20 ms SSB periodicity) and close to 19 times for a non-stand-alone case (SSB periodicity 160 ms).</w:t>
      </w:r>
    </w:p>
    <w:p w14:paraId="23ACEF03" w14:textId="2BE84D24" w:rsidR="00B0270B" w:rsidRPr="00FA1690" w:rsidRDefault="00B0270B" w:rsidP="00B0270B">
      <w:pPr>
        <w:rPr>
          <w:rFonts w:ascii="Arial" w:hAnsi="Arial" w:cs="Arial"/>
        </w:rPr>
      </w:pPr>
      <w:r w:rsidRPr="00FA1690">
        <w:rPr>
          <w:rFonts w:ascii="Arial" w:hAnsi="Arial" w:cs="Arial"/>
        </w:rPr>
        <w:t xml:space="preserve">The energy savings enabled by NR will result in significant energy cost savings for operators. It will </w:t>
      </w:r>
      <w:r w:rsidR="002C0FFB" w:rsidRPr="00FA1690">
        <w:rPr>
          <w:rFonts w:ascii="Arial" w:hAnsi="Arial" w:cs="Arial"/>
        </w:rPr>
        <w:t xml:space="preserve">help to reduce the carbon footprint of cellular networks even further. Lower energy consumption is of importance in off-grid areas where base stations need to be powered by on-site generated power, such as solar panels. The size of backup batteries is reduced proportionally to the average energy consumption. Also, reduced energy consumption result is reduced heat dissipation which is a major hurdle for product miniaturization. The combined techno economic effects of </w:t>
      </w:r>
      <w:r w:rsidR="002941F5" w:rsidRPr="00FA1690">
        <w:rPr>
          <w:rFonts w:ascii="Arial" w:hAnsi="Arial" w:cs="Arial"/>
        </w:rPr>
        <w:t>such large improvements in network energy performance</w:t>
      </w:r>
      <w:r w:rsidR="002C0FFB" w:rsidRPr="00FA1690">
        <w:rPr>
          <w:rFonts w:ascii="Arial" w:hAnsi="Arial" w:cs="Arial"/>
        </w:rPr>
        <w:t xml:space="preserve"> are difficult to overestimate. </w:t>
      </w:r>
    </w:p>
    <w:p w14:paraId="4F410EEB" w14:textId="77777777" w:rsidR="00F507D1" w:rsidRPr="00FA1690" w:rsidRDefault="00F507D1" w:rsidP="00CE0424">
      <w:pPr>
        <w:pStyle w:val="Heading1"/>
        <w:rPr>
          <w:lang w:val="en-US"/>
        </w:rPr>
      </w:pPr>
      <w:bookmarkStart w:id="14" w:name="_In-sequence_SDU_delivery"/>
      <w:bookmarkEnd w:id="14"/>
      <w:r w:rsidRPr="00FA1690">
        <w:rPr>
          <w:lang w:val="en-US"/>
        </w:rPr>
        <w:t>References</w:t>
      </w:r>
    </w:p>
    <w:p w14:paraId="2AC82099" w14:textId="24D370C2" w:rsidR="00FE3DE2" w:rsidRPr="00FA1690" w:rsidRDefault="00FE3DE2" w:rsidP="00FA1690">
      <w:pPr>
        <w:pStyle w:val="Reference"/>
        <w:spacing w:line="240" w:lineRule="auto"/>
        <w:rPr>
          <w:rFonts w:ascii="Arial" w:hAnsi="Arial" w:cs="Arial"/>
          <w:sz w:val="20"/>
          <w:szCs w:val="20"/>
        </w:rPr>
      </w:pPr>
      <w:bookmarkStart w:id="15" w:name="_Ref473903597"/>
      <w:r w:rsidRPr="00FA1690">
        <w:rPr>
          <w:rFonts w:ascii="Arial" w:hAnsi="Arial" w:cs="Arial"/>
          <w:sz w:val="20"/>
          <w:szCs w:val="20"/>
        </w:rPr>
        <w:t xml:space="preserve">R1-1611900, </w:t>
      </w:r>
      <w:r w:rsidRPr="00FA1690">
        <w:rPr>
          <w:rFonts w:ascii="Arial" w:hAnsi="Arial" w:cs="Arial"/>
          <w:i/>
          <w:sz w:val="20"/>
          <w:szCs w:val="20"/>
        </w:rPr>
        <w:t>Long Network DTX in NR</w:t>
      </w:r>
      <w:r w:rsidR="002F04E4" w:rsidRPr="00FA1690">
        <w:rPr>
          <w:rFonts w:ascii="Arial" w:hAnsi="Arial" w:cs="Arial"/>
          <w:sz w:val="20"/>
          <w:szCs w:val="20"/>
        </w:rPr>
        <w:t>, Ericsson</w:t>
      </w:r>
      <w:r w:rsidR="001E0D3B" w:rsidRPr="00FA1690">
        <w:rPr>
          <w:rFonts w:ascii="Arial" w:hAnsi="Arial" w:cs="Arial"/>
          <w:sz w:val="20"/>
          <w:szCs w:val="20"/>
        </w:rPr>
        <w:t>,</w:t>
      </w:r>
      <w:r w:rsidRPr="00FA1690">
        <w:rPr>
          <w:rFonts w:ascii="Arial" w:hAnsi="Arial" w:cs="Arial"/>
          <w:sz w:val="20"/>
          <w:szCs w:val="20"/>
        </w:rPr>
        <w:t xml:space="preserve"> Reno, NV, USA, November 14th – 18th, 2016.</w:t>
      </w:r>
      <w:bookmarkEnd w:id="15"/>
    </w:p>
    <w:p w14:paraId="662EFE7B" w14:textId="79BB11BD" w:rsidR="006E0A61" w:rsidRPr="00FA1690" w:rsidRDefault="006E0A61" w:rsidP="00FA1690">
      <w:pPr>
        <w:pStyle w:val="Reference"/>
        <w:spacing w:line="240" w:lineRule="auto"/>
        <w:rPr>
          <w:rFonts w:ascii="Arial" w:hAnsi="Arial" w:cs="Arial"/>
          <w:sz w:val="20"/>
          <w:szCs w:val="20"/>
        </w:rPr>
      </w:pPr>
      <w:bookmarkStart w:id="16" w:name="_Ref474167584"/>
      <w:r w:rsidRPr="00FA1690">
        <w:rPr>
          <w:rFonts w:ascii="Arial" w:hAnsi="Arial" w:cs="Arial"/>
          <w:sz w:val="20"/>
          <w:szCs w:val="20"/>
        </w:rPr>
        <w:t xml:space="preserve">R1-1702121, </w:t>
      </w:r>
      <w:r w:rsidRPr="00FA1690">
        <w:rPr>
          <w:rFonts w:ascii="Arial" w:hAnsi="Arial" w:cs="Arial"/>
          <w:i/>
          <w:sz w:val="20"/>
          <w:szCs w:val="20"/>
        </w:rPr>
        <w:t>NR System Sync Frequency Raster</w:t>
      </w:r>
      <w:r w:rsidRPr="00FA1690">
        <w:rPr>
          <w:rFonts w:ascii="Arial" w:hAnsi="Arial" w:cs="Arial"/>
          <w:sz w:val="20"/>
          <w:szCs w:val="20"/>
        </w:rPr>
        <w:t>, Ericsson, Athens, Greece, February 13th – 17th, 2017.</w:t>
      </w:r>
      <w:bookmarkEnd w:id="16"/>
    </w:p>
    <w:p w14:paraId="54BF8EA7" w14:textId="4B8FBBA4" w:rsidR="001D1B96" w:rsidRPr="00FA1690" w:rsidRDefault="001D1B96" w:rsidP="00FA1690">
      <w:pPr>
        <w:pStyle w:val="Reference"/>
        <w:spacing w:line="240" w:lineRule="auto"/>
        <w:rPr>
          <w:rFonts w:ascii="Arial" w:hAnsi="Arial" w:cs="Arial"/>
          <w:sz w:val="20"/>
          <w:szCs w:val="20"/>
        </w:rPr>
      </w:pPr>
      <w:bookmarkStart w:id="17" w:name="_Ref473650823"/>
      <w:r w:rsidRPr="00FA1690">
        <w:rPr>
          <w:rFonts w:ascii="Arial" w:hAnsi="Arial" w:cs="Arial"/>
          <w:sz w:val="20"/>
          <w:szCs w:val="20"/>
        </w:rPr>
        <w:t xml:space="preserve">R1-1700293, </w:t>
      </w:r>
      <w:r w:rsidRPr="00FA1690">
        <w:rPr>
          <w:rFonts w:ascii="Arial" w:hAnsi="Arial" w:cs="Arial"/>
          <w:i/>
          <w:sz w:val="20"/>
          <w:szCs w:val="20"/>
        </w:rPr>
        <w:t>NR SS Frequency Raster</w:t>
      </w:r>
      <w:r w:rsidR="002F04E4" w:rsidRPr="00FA1690">
        <w:rPr>
          <w:rFonts w:ascii="Arial" w:hAnsi="Arial" w:cs="Arial"/>
          <w:sz w:val="20"/>
          <w:szCs w:val="20"/>
        </w:rPr>
        <w:t>, Ericsson</w:t>
      </w:r>
      <w:r w:rsidR="001E0D3B" w:rsidRPr="00FA1690">
        <w:rPr>
          <w:rFonts w:ascii="Arial" w:hAnsi="Arial" w:cs="Arial"/>
          <w:sz w:val="20"/>
          <w:szCs w:val="20"/>
        </w:rPr>
        <w:t xml:space="preserve">, </w:t>
      </w:r>
      <w:r w:rsidRPr="00FA1690">
        <w:rPr>
          <w:rFonts w:ascii="Arial" w:hAnsi="Arial" w:cs="Arial"/>
          <w:sz w:val="20"/>
          <w:szCs w:val="20"/>
        </w:rPr>
        <w:t>Spokane, WA, USA, January 16th – 20th, 2017.</w:t>
      </w:r>
      <w:bookmarkEnd w:id="17"/>
    </w:p>
    <w:p w14:paraId="0A7A46F2" w14:textId="0E63D61A" w:rsidR="00F953FF" w:rsidRPr="00FA1690" w:rsidRDefault="00F953FF" w:rsidP="00FA1690">
      <w:pPr>
        <w:pStyle w:val="Reference"/>
        <w:spacing w:line="240" w:lineRule="auto"/>
        <w:rPr>
          <w:rFonts w:ascii="Arial" w:hAnsi="Arial" w:cs="Arial"/>
          <w:sz w:val="20"/>
          <w:szCs w:val="20"/>
        </w:rPr>
      </w:pPr>
      <w:bookmarkStart w:id="18" w:name="_Ref474173705"/>
      <w:bookmarkStart w:id="19" w:name="_Ref474168893"/>
      <w:r w:rsidRPr="00FA1690">
        <w:rPr>
          <w:rFonts w:ascii="Arial" w:hAnsi="Arial" w:cs="Arial"/>
          <w:sz w:val="20"/>
          <w:szCs w:val="20"/>
        </w:rPr>
        <w:t xml:space="preserve">R1-1702123, </w:t>
      </w:r>
      <w:r w:rsidRPr="00FA1690">
        <w:rPr>
          <w:rFonts w:ascii="Arial" w:hAnsi="Arial" w:cs="Arial"/>
          <w:i/>
          <w:sz w:val="20"/>
          <w:szCs w:val="20"/>
        </w:rPr>
        <w:t>Synchronization signal sequence design</w:t>
      </w:r>
      <w:r w:rsidRPr="00FA1690">
        <w:rPr>
          <w:rFonts w:ascii="Arial" w:hAnsi="Arial" w:cs="Arial"/>
          <w:sz w:val="20"/>
          <w:szCs w:val="20"/>
        </w:rPr>
        <w:t>, Ericsson, Athens, Greece, February 13th – 17th, 2017</w:t>
      </w:r>
      <w:bookmarkEnd w:id="18"/>
      <w:r w:rsidR="009C0BAD" w:rsidRPr="00FA1690">
        <w:rPr>
          <w:rFonts w:ascii="Arial" w:hAnsi="Arial" w:cs="Arial"/>
          <w:sz w:val="20"/>
          <w:szCs w:val="20"/>
        </w:rPr>
        <w:t>.</w:t>
      </w:r>
      <w:bookmarkEnd w:id="19"/>
    </w:p>
    <w:p w14:paraId="27195666" w14:textId="33C917DE" w:rsidR="00040AD7" w:rsidRPr="00FA1690" w:rsidRDefault="00040AD7" w:rsidP="00FA1690">
      <w:pPr>
        <w:pStyle w:val="Reference"/>
        <w:spacing w:line="240" w:lineRule="auto"/>
        <w:rPr>
          <w:rFonts w:ascii="Arial" w:hAnsi="Arial" w:cs="Arial"/>
          <w:sz w:val="20"/>
          <w:szCs w:val="20"/>
        </w:rPr>
      </w:pPr>
      <w:bookmarkStart w:id="20" w:name="_Ref473889392"/>
      <w:r w:rsidRPr="00FA1690">
        <w:rPr>
          <w:rFonts w:ascii="Arial" w:hAnsi="Arial" w:cs="Arial"/>
          <w:sz w:val="20"/>
          <w:szCs w:val="20"/>
        </w:rPr>
        <w:t xml:space="preserve">Debaillie, Desset, Louagie, </w:t>
      </w:r>
      <w:r w:rsidRPr="00FA1690">
        <w:rPr>
          <w:rFonts w:ascii="Arial" w:hAnsi="Arial" w:cs="Arial"/>
          <w:i/>
          <w:iCs/>
          <w:sz w:val="20"/>
          <w:szCs w:val="20"/>
        </w:rPr>
        <w:t>A Flexible and Future-Proof Power Model for Cellular Base Stations</w:t>
      </w:r>
      <w:r w:rsidRPr="00FA1690">
        <w:rPr>
          <w:rFonts w:ascii="Arial" w:hAnsi="Arial" w:cs="Arial"/>
          <w:sz w:val="20"/>
          <w:szCs w:val="20"/>
        </w:rPr>
        <w:t>,</w:t>
      </w:r>
      <w:r w:rsidRPr="00FA1690">
        <w:rPr>
          <w:rFonts w:ascii="Arial" w:hAnsi="Arial" w:cs="Arial"/>
          <w:sz w:val="20"/>
          <w:szCs w:val="20"/>
        </w:rPr>
        <w:br/>
        <w:t>Proc. IEEE Vehicular Tech. Conf. Spring 2015, Glasgow, Scotland, May 2015.</w:t>
      </w:r>
      <w:bookmarkEnd w:id="20"/>
    </w:p>
    <w:p w14:paraId="420CDC2B" w14:textId="0E52EB44" w:rsidR="00AE3514" w:rsidRPr="00FA1690" w:rsidRDefault="00AE3514" w:rsidP="00FA1690">
      <w:pPr>
        <w:pStyle w:val="Reference"/>
        <w:spacing w:line="240" w:lineRule="auto"/>
        <w:rPr>
          <w:rFonts w:ascii="Arial" w:hAnsi="Arial" w:cs="Arial"/>
          <w:sz w:val="20"/>
          <w:szCs w:val="20"/>
        </w:rPr>
      </w:pPr>
      <w:bookmarkStart w:id="21" w:name="_Ref498091529"/>
      <w:r w:rsidRPr="00FA1690">
        <w:rPr>
          <w:rFonts w:ascii="Arial" w:hAnsi="Arial" w:cs="Arial"/>
          <w:sz w:val="20"/>
          <w:szCs w:val="20"/>
        </w:rPr>
        <w:t xml:space="preserve">P. Frenger and M. Ericson, “Assessment of alternatives for reducing energy consumption in multi-RAT scenarios,” in </w:t>
      </w:r>
      <w:r w:rsidRPr="00FA1690">
        <w:rPr>
          <w:rFonts w:ascii="Arial" w:hAnsi="Arial" w:cs="Arial"/>
          <w:i/>
          <w:sz w:val="20"/>
          <w:szCs w:val="20"/>
        </w:rPr>
        <w:t>Proc. IEEE VTC-Spring</w:t>
      </w:r>
      <w:r w:rsidRPr="00FA1690">
        <w:rPr>
          <w:rFonts w:ascii="Arial" w:hAnsi="Arial" w:cs="Arial"/>
          <w:sz w:val="20"/>
          <w:szCs w:val="20"/>
        </w:rPr>
        <w:t xml:space="preserve">, 2014. </w:t>
      </w:r>
      <w:bookmarkEnd w:id="21"/>
    </w:p>
    <w:sectPr w:rsidR="00AE3514" w:rsidRPr="00FA1690">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E0077" w14:textId="77777777" w:rsidR="00B24944" w:rsidRDefault="00B24944">
      <w:r>
        <w:separator/>
      </w:r>
    </w:p>
  </w:endnote>
  <w:endnote w:type="continuationSeparator" w:id="0">
    <w:p w14:paraId="74646D32" w14:textId="77777777" w:rsidR="00B24944" w:rsidRDefault="00B2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93FDD" w14:textId="77777777" w:rsidR="00B24944" w:rsidRDefault="00B24944">
      <w:r>
        <w:separator/>
      </w:r>
    </w:p>
  </w:footnote>
  <w:footnote w:type="continuationSeparator" w:id="0">
    <w:p w14:paraId="1BF3FEFC" w14:textId="77777777" w:rsidR="00B24944" w:rsidRDefault="00B24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8"/>
  </w:num>
  <w:num w:numId="17">
    <w:abstractNumId w:val="11"/>
  </w:num>
  <w:num w:numId="18">
    <w:abstractNumId w:val="10"/>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696"/>
    <w:rsid w:val="00006446"/>
    <w:rsid w:val="00006896"/>
    <w:rsid w:val="00007CDC"/>
    <w:rsid w:val="00011B28"/>
    <w:rsid w:val="00015D15"/>
    <w:rsid w:val="00016EF8"/>
    <w:rsid w:val="000234D4"/>
    <w:rsid w:val="00023E8E"/>
    <w:rsid w:val="0002564D"/>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606A"/>
    <w:rsid w:val="00057117"/>
    <w:rsid w:val="000616E7"/>
    <w:rsid w:val="0006487E"/>
    <w:rsid w:val="00065E1A"/>
    <w:rsid w:val="00073E5D"/>
    <w:rsid w:val="00075EC9"/>
    <w:rsid w:val="00077E5F"/>
    <w:rsid w:val="0008036A"/>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1263"/>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A8"/>
    <w:rsid w:val="00194AC2"/>
    <w:rsid w:val="00197DF9"/>
    <w:rsid w:val="001A1987"/>
    <w:rsid w:val="001A2564"/>
    <w:rsid w:val="001A6173"/>
    <w:rsid w:val="001A6CBA"/>
    <w:rsid w:val="001B0D97"/>
    <w:rsid w:val="001B5A5D"/>
    <w:rsid w:val="001B6734"/>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C48"/>
    <w:rsid w:val="002A6104"/>
    <w:rsid w:val="002B24D6"/>
    <w:rsid w:val="002C0FFB"/>
    <w:rsid w:val="002C41E6"/>
    <w:rsid w:val="002C4F55"/>
    <w:rsid w:val="002C5931"/>
    <w:rsid w:val="002D071A"/>
    <w:rsid w:val="002D34B2"/>
    <w:rsid w:val="002D7596"/>
    <w:rsid w:val="002D7637"/>
    <w:rsid w:val="002E17F2"/>
    <w:rsid w:val="002E4FF7"/>
    <w:rsid w:val="002E7CAE"/>
    <w:rsid w:val="002F04E4"/>
    <w:rsid w:val="002F16D0"/>
    <w:rsid w:val="002F2771"/>
    <w:rsid w:val="002F37A9"/>
    <w:rsid w:val="002F5E55"/>
    <w:rsid w:val="002F63AC"/>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7248"/>
    <w:rsid w:val="004275C5"/>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BC5"/>
    <w:rsid w:val="004964F1"/>
    <w:rsid w:val="004A16BC"/>
    <w:rsid w:val="004A2B94"/>
    <w:rsid w:val="004A6166"/>
    <w:rsid w:val="004B0D1C"/>
    <w:rsid w:val="004B562D"/>
    <w:rsid w:val="004B5710"/>
    <w:rsid w:val="004B7C0C"/>
    <w:rsid w:val="004C3898"/>
    <w:rsid w:val="004C6E2C"/>
    <w:rsid w:val="004D0BEA"/>
    <w:rsid w:val="004D36B1"/>
    <w:rsid w:val="004D47D5"/>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5F65"/>
    <w:rsid w:val="00536759"/>
    <w:rsid w:val="00537C62"/>
    <w:rsid w:val="005453CD"/>
    <w:rsid w:val="00546970"/>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662D"/>
    <w:rsid w:val="005B22DB"/>
    <w:rsid w:val="005B35D7"/>
    <w:rsid w:val="005B392A"/>
    <w:rsid w:val="005B3AA3"/>
    <w:rsid w:val="005B6F83"/>
    <w:rsid w:val="005C23F1"/>
    <w:rsid w:val="005C5876"/>
    <w:rsid w:val="005C59A6"/>
    <w:rsid w:val="005C74FB"/>
    <w:rsid w:val="005C7E97"/>
    <w:rsid w:val="005D1602"/>
    <w:rsid w:val="005D1E6F"/>
    <w:rsid w:val="005D4977"/>
    <w:rsid w:val="005E1CF7"/>
    <w:rsid w:val="005E385F"/>
    <w:rsid w:val="005E5B81"/>
    <w:rsid w:val="005F0273"/>
    <w:rsid w:val="005F2CB1"/>
    <w:rsid w:val="005F3025"/>
    <w:rsid w:val="005F618C"/>
    <w:rsid w:val="005F70BD"/>
    <w:rsid w:val="0060283C"/>
    <w:rsid w:val="00602ED6"/>
    <w:rsid w:val="00604F14"/>
    <w:rsid w:val="00611B83"/>
    <w:rsid w:val="00613257"/>
    <w:rsid w:val="00616C39"/>
    <w:rsid w:val="00620A71"/>
    <w:rsid w:val="00620D80"/>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3747A"/>
    <w:rsid w:val="00740E58"/>
    <w:rsid w:val="007445A0"/>
    <w:rsid w:val="0074524B"/>
    <w:rsid w:val="00747D8B"/>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2A4"/>
    <w:rsid w:val="007A58A6"/>
    <w:rsid w:val="007B3D2D"/>
    <w:rsid w:val="007B50AE"/>
    <w:rsid w:val="007B51DF"/>
    <w:rsid w:val="007C05DD"/>
    <w:rsid w:val="007C0DED"/>
    <w:rsid w:val="007C3D18"/>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47AA3"/>
    <w:rsid w:val="00855725"/>
    <w:rsid w:val="00856911"/>
    <w:rsid w:val="00861C7F"/>
    <w:rsid w:val="008677FD"/>
    <w:rsid w:val="00870038"/>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D41"/>
    <w:rsid w:val="00A67E6C"/>
    <w:rsid w:val="00A71B99"/>
    <w:rsid w:val="00A739D0"/>
    <w:rsid w:val="00A761D4"/>
    <w:rsid w:val="00A77EC4"/>
    <w:rsid w:val="00A86807"/>
    <w:rsid w:val="00A92879"/>
    <w:rsid w:val="00A93F3D"/>
    <w:rsid w:val="00A9442A"/>
    <w:rsid w:val="00A9484F"/>
    <w:rsid w:val="00AA016F"/>
    <w:rsid w:val="00AA01AD"/>
    <w:rsid w:val="00AA1ED6"/>
    <w:rsid w:val="00AA51D6"/>
    <w:rsid w:val="00AB0BC8"/>
    <w:rsid w:val="00AB0E0F"/>
    <w:rsid w:val="00AB11CA"/>
    <w:rsid w:val="00AB14D9"/>
    <w:rsid w:val="00AB1924"/>
    <w:rsid w:val="00AB4AB8"/>
    <w:rsid w:val="00AB655E"/>
    <w:rsid w:val="00AC007F"/>
    <w:rsid w:val="00AC2ECD"/>
    <w:rsid w:val="00AC3119"/>
    <w:rsid w:val="00AC49FB"/>
    <w:rsid w:val="00AC5A10"/>
    <w:rsid w:val="00AD0AA3"/>
    <w:rsid w:val="00AD3F94"/>
    <w:rsid w:val="00AD4A5A"/>
    <w:rsid w:val="00AD5274"/>
    <w:rsid w:val="00AE27AC"/>
    <w:rsid w:val="00AE3514"/>
    <w:rsid w:val="00AE40E0"/>
    <w:rsid w:val="00AE4DBA"/>
    <w:rsid w:val="00AE4F07"/>
    <w:rsid w:val="00AF1C5D"/>
    <w:rsid w:val="00AF42D7"/>
    <w:rsid w:val="00B006FE"/>
    <w:rsid w:val="00B007CB"/>
    <w:rsid w:val="00B00B24"/>
    <w:rsid w:val="00B0270B"/>
    <w:rsid w:val="00B02AA9"/>
    <w:rsid w:val="00B02FA3"/>
    <w:rsid w:val="00B05084"/>
    <w:rsid w:val="00B157F9"/>
    <w:rsid w:val="00B20256"/>
    <w:rsid w:val="00B20D09"/>
    <w:rsid w:val="00B24944"/>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3B59"/>
    <w:rsid w:val="00B9406A"/>
    <w:rsid w:val="00BA2280"/>
    <w:rsid w:val="00BA2A08"/>
    <w:rsid w:val="00BA3521"/>
    <w:rsid w:val="00BA35BC"/>
    <w:rsid w:val="00BA5427"/>
    <w:rsid w:val="00BA56D2"/>
    <w:rsid w:val="00BA76E0"/>
    <w:rsid w:val="00BA7F5D"/>
    <w:rsid w:val="00BB2A25"/>
    <w:rsid w:val="00BB51E9"/>
    <w:rsid w:val="00BB616E"/>
    <w:rsid w:val="00BC0FDC"/>
    <w:rsid w:val="00BC2406"/>
    <w:rsid w:val="00BC3053"/>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39A7"/>
    <w:rsid w:val="00D23F47"/>
    <w:rsid w:val="00D245D1"/>
    <w:rsid w:val="00D2533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53EF"/>
    <w:rsid w:val="00DD01D1"/>
    <w:rsid w:val="00DE0E55"/>
    <w:rsid w:val="00DE5608"/>
    <w:rsid w:val="00DE58D0"/>
    <w:rsid w:val="00DE654F"/>
    <w:rsid w:val="00DF0B6E"/>
    <w:rsid w:val="00DF15E0"/>
    <w:rsid w:val="00DF2812"/>
    <w:rsid w:val="00DF37A0"/>
    <w:rsid w:val="00E02E1F"/>
    <w:rsid w:val="00E110E7"/>
    <w:rsid w:val="00E11B20"/>
    <w:rsid w:val="00E11E58"/>
    <w:rsid w:val="00E17FA2"/>
    <w:rsid w:val="00E22330"/>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8226B"/>
    <w:rsid w:val="00E8234C"/>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D7E7B"/>
    <w:rsid w:val="00EF18FE"/>
    <w:rsid w:val="00EF3D45"/>
    <w:rsid w:val="00EF5787"/>
    <w:rsid w:val="00EF60D0"/>
    <w:rsid w:val="00F0528D"/>
    <w:rsid w:val="00F0546C"/>
    <w:rsid w:val="00F06C67"/>
    <w:rsid w:val="00F06DFD"/>
    <w:rsid w:val="00F071D1"/>
    <w:rsid w:val="00F07533"/>
    <w:rsid w:val="00F10629"/>
    <w:rsid w:val="00F10917"/>
    <w:rsid w:val="00F15FA5"/>
    <w:rsid w:val="00F17C14"/>
    <w:rsid w:val="00F209B7"/>
    <w:rsid w:val="00F21D08"/>
    <w:rsid w:val="00F2376F"/>
    <w:rsid w:val="00F243D8"/>
    <w:rsid w:val="00F24C5E"/>
    <w:rsid w:val="00F30828"/>
    <w:rsid w:val="00F313D6"/>
    <w:rsid w:val="00F36E7B"/>
    <w:rsid w:val="00F40F0C"/>
    <w:rsid w:val="00F4766C"/>
    <w:rsid w:val="00F47DA9"/>
    <w:rsid w:val="00F507D1"/>
    <w:rsid w:val="00F519CE"/>
    <w:rsid w:val="00F51ADA"/>
    <w:rsid w:val="00F607C5"/>
    <w:rsid w:val="00F60DEA"/>
    <w:rsid w:val="00F63029"/>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1690"/>
    <w:rsid w:val="00FA2BB3"/>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0E0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B0E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E0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val="sv-SE"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D0C61-37FD-4E35-B27A-6F0947896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14284</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2018-01-12T15:34:00Z</dcterms:created>
  <dcterms:modified xsi:type="dcterms:W3CDTF">2018-01-12T18:30:00Z</dcterms:modified>
</cp:coreProperties>
</file>